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B2E3D" w14:textId="77777777" w:rsidR="00E451AE" w:rsidRDefault="00E451AE">
      <w:pPr>
        <w:keepNext/>
        <w:ind w:left="1" w:hanging="3"/>
        <w:jc w:val="center"/>
        <w:rPr>
          <w:sz w:val="28"/>
          <w:szCs w:val="28"/>
        </w:rPr>
      </w:pPr>
    </w:p>
    <w:p w14:paraId="7509D1AB" w14:textId="77777777" w:rsidR="00E451AE" w:rsidRDefault="00E451AE">
      <w:pPr>
        <w:keepNext/>
        <w:ind w:left="1" w:hanging="3"/>
        <w:jc w:val="center"/>
        <w:rPr>
          <w:sz w:val="28"/>
          <w:szCs w:val="28"/>
        </w:rPr>
      </w:pPr>
    </w:p>
    <w:p w14:paraId="14BD8289" w14:textId="77777777" w:rsidR="00E451AE" w:rsidRDefault="00E451AE">
      <w:pPr>
        <w:keepNext/>
        <w:ind w:left="1" w:hanging="3"/>
        <w:jc w:val="center"/>
        <w:rPr>
          <w:sz w:val="28"/>
          <w:szCs w:val="28"/>
        </w:rPr>
      </w:pPr>
    </w:p>
    <w:p w14:paraId="45458D86" w14:textId="77777777" w:rsidR="00E451AE" w:rsidRDefault="00A03152">
      <w:pPr>
        <w:keepNext/>
        <w:ind w:left="1" w:hanging="3"/>
        <w:jc w:val="center"/>
        <w:rPr>
          <w:sz w:val="28"/>
          <w:szCs w:val="28"/>
        </w:rPr>
      </w:pPr>
      <w:r>
        <w:rPr>
          <w:b/>
          <w:sz w:val="28"/>
          <w:szCs w:val="28"/>
        </w:rPr>
        <w:t>TEMATICĂ</w:t>
      </w:r>
    </w:p>
    <w:p w14:paraId="185319A9" w14:textId="77777777" w:rsidR="00E451AE" w:rsidRDefault="00A03152">
      <w:pPr>
        <w:keepNext/>
        <w:tabs>
          <w:tab w:val="left" w:pos="5235"/>
        </w:tabs>
        <w:ind w:left="1" w:hanging="3"/>
        <w:rPr>
          <w:sz w:val="28"/>
          <w:szCs w:val="28"/>
        </w:rPr>
      </w:pPr>
      <w:r>
        <w:rPr>
          <w:b/>
          <w:sz w:val="28"/>
          <w:szCs w:val="28"/>
        </w:rPr>
        <w:tab/>
      </w:r>
    </w:p>
    <w:p w14:paraId="470C22EA" w14:textId="77777777" w:rsidR="00E451AE" w:rsidRDefault="00A03152">
      <w:pPr>
        <w:ind w:left="1" w:hanging="3"/>
        <w:jc w:val="center"/>
        <w:rPr>
          <w:sz w:val="28"/>
          <w:szCs w:val="28"/>
        </w:rPr>
      </w:pPr>
      <w:r>
        <w:rPr>
          <w:b/>
          <w:sz w:val="28"/>
          <w:szCs w:val="28"/>
        </w:rPr>
        <w:t>Concurs de promovare pe loc în funcţii de execuţie a procurorilor</w:t>
      </w:r>
    </w:p>
    <w:p w14:paraId="37A43F87" w14:textId="1F9C166B" w:rsidR="00E451AE" w:rsidRDefault="00A03152">
      <w:pPr>
        <w:ind w:left="1" w:hanging="3"/>
        <w:jc w:val="center"/>
        <w:rPr>
          <w:sz w:val="28"/>
          <w:szCs w:val="28"/>
        </w:rPr>
      </w:pPr>
      <w:r>
        <w:rPr>
          <w:b/>
          <w:sz w:val="28"/>
          <w:szCs w:val="28"/>
        </w:rPr>
        <w:t xml:space="preserve"> 202</w:t>
      </w:r>
      <w:r w:rsidR="00A71B4A">
        <w:rPr>
          <w:b/>
          <w:sz w:val="28"/>
          <w:szCs w:val="28"/>
        </w:rPr>
        <w:t>2</w:t>
      </w:r>
    </w:p>
    <w:p w14:paraId="3325F3B0" w14:textId="77777777" w:rsidR="00E451AE" w:rsidRDefault="00E451AE">
      <w:pPr>
        <w:ind w:left="1" w:hanging="3"/>
        <w:jc w:val="both"/>
        <w:rPr>
          <w:sz w:val="28"/>
          <w:szCs w:val="28"/>
        </w:rPr>
      </w:pPr>
    </w:p>
    <w:p w14:paraId="52027204" w14:textId="77777777" w:rsidR="00E451AE" w:rsidRDefault="00A03152">
      <w:pPr>
        <w:pStyle w:val="Title"/>
        <w:tabs>
          <w:tab w:val="left" w:pos="3420"/>
        </w:tabs>
        <w:ind w:left="1" w:hanging="3"/>
        <w:rPr>
          <w:rFonts w:ascii="Times New Roman" w:hAnsi="Times New Roman"/>
          <w:sz w:val="28"/>
          <w:szCs w:val="28"/>
        </w:rPr>
      </w:pPr>
      <w:r>
        <w:rPr>
          <w:rFonts w:ascii="Times New Roman" w:hAnsi="Times New Roman"/>
          <w:b/>
          <w:sz w:val="28"/>
          <w:szCs w:val="28"/>
        </w:rPr>
        <w:t>DREPT PENAL</w:t>
      </w:r>
    </w:p>
    <w:p w14:paraId="42DCDD71" w14:textId="77777777" w:rsidR="00E451AE" w:rsidRDefault="00E451AE">
      <w:pPr>
        <w:ind w:left="1" w:hanging="3"/>
        <w:jc w:val="both"/>
        <w:rPr>
          <w:sz w:val="28"/>
          <w:szCs w:val="28"/>
        </w:rPr>
      </w:pPr>
    </w:p>
    <w:p w14:paraId="2E2817A9" w14:textId="77777777" w:rsidR="00E451AE" w:rsidRDefault="00E451AE">
      <w:pPr>
        <w:ind w:left="0" w:hanging="2"/>
        <w:jc w:val="both"/>
      </w:pPr>
    </w:p>
    <w:p w14:paraId="53207F8B" w14:textId="77777777" w:rsidR="00E451AE" w:rsidRDefault="00E451AE">
      <w:pPr>
        <w:ind w:left="0" w:hanging="2"/>
        <w:jc w:val="both"/>
      </w:pPr>
    </w:p>
    <w:p w14:paraId="20C9C679" w14:textId="77777777" w:rsidR="00E451AE" w:rsidRDefault="00A03152">
      <w:pPr>
        <w:pStyle w:val="Subtitle"/>
        <w:numPr>
          <w:ilvl w:val="0"/>
          <w:numId w:val="9"/>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Partea generală</w:t>
      </w:r>
    </w:p>
    <w:p w14:paraId="77CFD4AA" w14:textId="77777777" w:rsidR="00E451AE" w:rsidRDefault="00E451AE">
      <w:pPr>
        <w:pStyle w:val="Subtitle"/>
        <w:ind w:left="0" w:hanging="2"/>
        <w:rPr>
          <w:rFonts w:ascii="Times New Roman" w:eastAsia="Times New Roman" w:hAnsi="Times New Roman" w:cs="Times New Roman"/>
          <w:sz w:val="24"/>
          <w:szCs w:val="24"/>
        </w:rPr>
      </w:pPr>
    </w:p>
    <w:p w14:paraId="7B1E6D3F" w14:textId="3CB23D5A" w:rsidR="00E451AE" w:rsidRDefault="00A03152">
      <w:pPr>
        <w:numPr>
          <w:ilvl w:val="0"/>
          <w:numId w:val="7"/>
        </w:numPr>
        <w:ind w:left="0" w:hanging="2"/>
        <w:jc w:val="both"/>
      </w:pPr>
      <w:r>
        <w:rPr>
          <w:b/>
        </w:rPr>
        <w:t>Legea penală şi limitele ei de aplicare</w:t>
      </w:r>
    </w:p>
    <w:p w14:paraId="595214E1" w14:textId="77777777" w:rsidR="00E451AE" w:rsidRDefault="00A03152">
      <w:pPr>
        <w:numPr>
          <w:ilvl w:val="1"/>
          <w:numId w:val="7"/>
        </w:numPr>
        <w:ind w:left="0" w:hanging="2"/>
        <w:jc w:val="both"/>
      </w:pPr>
      <w:r>
        <w:t>Principii generale;</w:t>
      </w:r>
    </w:p>
    <w:p w14:paraId="3CF7D37B" w14:textId="77777777" w:rsidR="00E451AE" w:rsidRDefault="00A03152">
      <w:pPr>
        <w:numPr>
          <w:ilvl w:val="1"/>
          <w:numId w:val="7"/>
        </w:numPr>
        <w:ind w:left="0" w:hanging="2"/>
        <w:jc w:val="both"/>
      </w:pPr>
      <w:r>
        <w:t>Aplicarea legii penale;</w:t>
      </w:r>
    </w:p>
    <w:p w14:paraId="0A78E410" w14:textId="77777777" w:rsidR="00E451AE" w:rsidRDefault="00E451AE">
      <w:pPr>
        <w:tabs>
          <w:tab w:val="left" w:pos="180"/>
        </w:tabs>
        <w:ind w:left="0" w:hanging="2"/>
        <w:jc w:val="both"/>
      </w:pPr>
    </w:p>
    <w:p w14:paraId="5AD1ED23" w14:textId="488BBB1D" w:rsidR="00E451AE" w:rsidRDefault="00AF11C0">
      <w:pPr>
        <w:numPr>
          <w:ilvl w:val="0"/>
          <w:numId w:val="7"/>
        </w:numPr>
        <w:tabs>
          <w:tab w:val="left" w:pos="180"/>
        </w:tabs>
        <w:ind w:left="0" w:hanging="2"/>
        <w:jc w:val="both"/>
      </w:pPr>
      <w:r>
        <w:rPr>
          <w:b/>
        </w:rPr>
        <w:t xml:space="preserve">         </w:t>
      </w:r>
      <w:r w:rsidR="00A03152">
        <w:rPr>
          <w:b/>
        </w:rPr>
        <w:t>Infracţiunea</w:t>
      </w:r>
    </w:p>
    <w:p w14:paraId="428341D0" w14:textId="77777777" w:rsidR="00E451AE" w:rsidRDefault="00A03152">
      <w:pPr>
        <w:numPr>
          <w:ilvl w:val="1"/>
          <w:numId w:val="7"/>
        </w:numPr>
        <w:ind w:left="0" w:hanging="2"/>
        <w:jc w:val="both"/>
      </w:pPr>
      <w:r>
        <w:t>Dispoziţii generale;</w:t>
      </w:r>
    </w:p>
    <w:p w14:paraId="4080AA32" w14:textId="77777777" w:rsidR="00E451AE" w:rsidRDefault="00A03152">
      <w:pPr>
        <w:numPr>
          <w:ilvl w:val="1"/>
          <w:numId w:val="7"/>
        </w:numPr>
        <w:ind w:left="0" w:hanging="2"/>
        <w:jc w:val="both"/>
      </w:pPr>
      <w:r>
        <w:t>Cauze justificative;</w:t>
      </w:r>
    </w:p>
    <w:p w14:paraId="230E0DA4" w14:textId="77777777" w:rsidR="00E451AE" w:rsidRDefault="00A03152">
      <w:pPr>
        <w:numPr>
          <w:ilvl w:val="1"/>
          <w:numId w:val="7"/>
        </w:numPr>
        <w:ind w:left="0" w:hanging="2"/>
        <w:jc w:val="both"/>
      </w:pPr>
      <w:r>
        <w:t>Cauze de neimputabilitate;</w:t>
      </w:r>
    </w:p>
    <w:p w14:paraId="6D2E1F5F" w14:textId="77777777" w:rsidR="00E451AE" w:rsidRDefault="00A03152">
      <w:pPr>
        <w:numPr>
          <w:ilvl w:val="1"/>
          <w:numId w:val="7"/>
        </w:numPr>
        <w:ind w:left="0" w:hanging="2"/>
        <w:jc w:val="both"/>
      </w:pPr>
      <w:r>
        <w:t>Tentativa;</w:t>
      </w:r>
    </w:p>
    <w:p w14:paraId="1D7674B4" w14:textId="77777777" w:rsidR="00E451AE" w:rsidRDefault="00A03152">
      <w:pPr>
        <w:numPr>
          <w:ilvl w:val="1"/>
          <w:numId w:val="7"/>
        </w:numPr>
        <w:ind w:left="0" w:hanging="2"/>
        <w:jc w:val="both"/>
      </w:pPr>
      <w:r>
        <w:t>Unitatea şi pluralitatea de infracţiuni;</w:t>
      </w:r>
    </w:p>
    <w:p w14:paraId="6467D429" w14:textId="77777777" w:rsidR="00E451AE" w:rsidRDefault="00A03152">
      <w:pPr>
        <w:numPr>
          <w:ilvl w:val="1"/>
          <w:numId w:val="7"/>
        </w:numPr>
        <w:ind w:left="0" w:hanging="2"/>
        <w:jc w:val="both"/>
      </w:pPr>
      <w:r>
        <w:t>Autorii şi participanţii;</w:t>
      </w:r>
    </w:p>
    <w:p w14:paraId="7E4320A0" w14:textId="77777777" w:rsidR="00E451AE" w:rsidRDefault="00E451AE">
      <w:pPr>
        <w:ind w:left="0" w:hanging="2"/>
        <w:jc w:val="both"/>
      </w:pPr>
    </w:p>
    <w:p w14:paraId="7047A45D" w14:textId="77777777" w:rsidR="00E451AE" w:rsidRDefault="00A03152">
      <w:pPr>
        <w:numPr>
          <w:ilvl w:val="0"/>
          <w:numId w:val="7"/>
        </w:numPr>
        <w:ind w:left="0" w:hanging="2"/>
        <w:jc w:val="both"/>
      </w:pPr>
      <w:r>
        <w:rPr>
          <w:b/>
        </w:rPr>
        <w:t>Pedepsele</w:t>
      </w:r>
    </w:p>
    <w:p w14:paraId="077988F0" w14:textId="77777777" w:rsidR="00E451AE" w:rsidRDefault="00A03152">
      <w:pPr>
        <w:numPr>
          <w:ilvl w:val="1"/>
          <w:numId w:val="7"/>
        </w:numPr>
        <w:ind w:left="0" w:hanging="2"/>
        <w:jc w:val="both"/>
      </w:pPr>
      <w:r>
        <w:t>Categoriile pedepselor;</w:t>
      </w:r>
    </w:p>
    <w:p w14:paraId="5C870A1F" w14:textId="77777777" w:rsidR="00E451AE" w:rsidRDefault="00A03152">
      <w:pPr>
        <w:numPr>
          <w:ilvl w:val="1"/>
          <w:numId w:val="7"/>
        </w:numPr>
        <w:ind w:left="0" w:hanging="2"/>
        <w:jc w:val="both"/>
      </w:pPr>
      <w:r>
        <w:t>Pedepsele principale;</w:t>
      </w:r>
    </w:p>
    <w:p w14:paraId="439C242C" w14:textId="77777777" w:rsidR="00E451AE" w:rsidRDefault="00A03152">
      <w:pPr>
        <w:numPr>
          <w:ilvl w:val="1"/>
          <w:numId w:val="7"/>
        </w:numPr>
        <w:ind w:left="0" w:hanging="2"/>
        <w:jc w:val="both"/>
      </w:pPr>
      <w:r>
        <w:t>Pedeapsa accesorie şi pedepsele complementare;</w:t>
      </w:r>
    </w:p>
    <w:p w14:paraId="58248ED0" w14:textId="77777777" w:rsidR="00E451AE" w:rsidRDefault="00A03152">
      <w:pPr>
        <w:numPr>
          <w:ilvl w:val="1"/>
          <w:numId w:val="7"/>
        </w:numPr>
        <w:ind w:left="0" w:hanging="2"/>
        <w:jc w:val="both"/>
      </w:pPr>
      <w:r>
        <w:t>Calculul duratei pedepselor;</w:t>
      </w:r>
    </w:p>
    <w:p w14:paraId="0D87B1CF" w14:textId="77777777" w:rsidR="00E451AE" w:rsidRDefault="00A03152">
      <w:pPr>
        <w:numPr>
          <w:ilvl w:val="1"/>
          <w:numId w:val="7"/>
        </w:numPr>
        <w:ind w:left="0" w:hanging="2"/>
        <w:jc w:val="both"/>
      </w:pPr>
      <w:r>
        <w:t>Individualizarea pedepselor;</w:t>
      </w:r>
    </w:p>
    <w:p w14:paraId="29BD096C" w14:textId="77777777" w:rsidR="00E451AE" w:rsidRDefault="00E451AE">
      <w:pPr>
        <w:tabs>
          <w:tab w:val="left" w:pos="1260"/>
        </w:tabs>
        <w:ind w:left="0" w:hanging="2"/>
        <w:jc w:val="both"/>
      </w:pPr>
    </w:p>
    <w:p w14:paraId="541F490D" w14:textId="77777777" w:rsidR="00E451AE" w:rsidRDefault="00A03152" w:rsidP="00AF11C0">
      <w:pPr>
        <w:numPr>
          <w:ilvl w:val="0"/>
          <w:numId w:val="7"/>
        </w:numPr>
        <w:ind w:left="0" w:hanging="2"/>
        <w:jc w:val="both"/>
      </w:pPr>
      <w:r>
        <w:rPr>
          <w:b/>
        </w:rPr>
        <w:t>Măsurile de siguranţă</w:t>
      </w:r>
    </w:p>
    <w:p w14:paraId="4F42693D" w14:textId="77777777" w:rsidR="00E451AE" w:rsidRDefault="00A03152">
      <w:pPr>
        <w:numPr>
          <w:ilvl w:val="1"/>
          <w:numId w:val="7"/>
        </w:numPr>
        <w:ind w:left="0" w:hanging="2"/>
        <w:jc w:val="both"/>
      </w:pPr>
      <w:r>
        <w:t>Dispoziţii generale;</w:t>
      </w:r>
    </w:p>
    <w:p w14:paraId="41CC2A1E" w14:textId="77777777" w:rsidR="00E451AE" w:rsidRDefault="00A03152">
      <w:pPr>
        <w:numPr>
          <w:ilvl w:val="1"/>
          <w:numId w:val="7"/>
        </w:numPr>
        <w:ind w:left="0" w:hanging="2"/>
        <w:jc w:val="both"/>
      </w:pPr>
      <w:r>
        <w:t>Regimul măsurilor de siguranţă;</w:t>
      </w:r>
    </w:p>
    <w:p w14:paraId="50789C63" w14:textId="77777777" w:rsidR="00E451AE" w:rsidRDefault="00E451AE">
      <w:pPr>
        <w:ind w:left="0" w:hanging="2"/>
        <w:jc w:val="both"/>
      </w:pPr>
    </w:p>
    <w:p w14:paraId="3E14537D" w14:textId="77777777" w:rsidR="00E451AE" w:rsidRDefault="00A03152" w:rsidP="00AF11C0">
      <w:pPr>
        <w:numPr>
          <w:ilvl w:val="0"/>
          <w:numId w:val="7"/>
        </w:numPr>
        <w:tabs>
          <w:tab w:val="left" w:pos="709"/>
        </w:tabs>
        <w:ind w:left="0" w:hanging="2"/>
        <w:jc w:val="both"/>
      </w:pPr>
      <w:r>
        <w:rPr>
          <w:b/>
        </w:rPr>
        <w:t>Minoritatea</w:t>
      </w:r>
    </w:p>
    <w:p w14:paraId="2CD3ADDD" w14:textId="77777777" w:rsidR="00E451AE" w:rsidRDefault="00A03152">
      <w:pPr>
        <w:numPr>
          <w:ilvl w:val="1"/>
          <w:numId w:val="7"/>
        </w:numPr>
        <w:ind w:left="0" w:hanging="2"/>
        <w:jc w:val="both"/>
      </w:pPr>
      <w:r>
        <w:t>Regimul răspunderii penale a minorului;</w:t>
      </w:r>
    </w:p>
    <w:p w14:paraId="4FC1CDC0" w14:textId="77777777" w:rsidR="00E451AE" w:rsidRDefault="00A03152">
      <w:pPr>
        <w:numPr>
          <w:ilvl w:val="1"/>
          <w:numId w:val="7"/>
        </w:numPr>
        <w:ind w:left="0" w:hanging="2"/>
        <w:jc w:val="both"/>
      </w:pPr>
      <w:r>
        <w:t>Regimul măsurilor educative neprivative de libertate;</w:t>
      </w:r>
    </w:p>
    <w:p w14:paraId="58FF301E" w14:textId="77777777" w:rsidR="00E451AE" w:rsidRDefault="00A03152">
      <w:pPr>
        <w:numPr>
          <w:ilvl w:val="1"/>
          <w:numId w:val="7"/>
        </w:numPr>
        <w:ind w:left="0" w:hanging="2"/>
        <w:jc w:val="both"/>
      </w:pPr>
      <w:r>
        <w:t>Regimul măsurilor educative privative de libertate;</w:t>
      </w:r>
    </w:p>
    <w:p w14:paraId="50E5C1EB" w14:textId="77777777" w:rsidR="00E451AE" w:rsidRDefault="00A03152">
      <w:pPr>
        <w:numPr>
          <w:ilvl w:val="1"/>
          <w:numId w:val="7"/>
        </w:numPr>
        <w:ind w:left="0" w:hanging="2"/>
        <w:jc w:val="both"/>
      </w:pPr>
      <w:r>
        <w:t>Dispoziţii comune;</w:t>
      </w:r>
    </w:p>
    <w:p w14:paraId="194D381A" w14:textId="77777777" w:rsidR="00E451AE" w:rsidRDefault="00E451AE">
      <w:pPr>
        <w:ind w:left="0" w:hanging="2"/>
        <w:jc w:val="both"/>
      </w:pPr>
    </w:p>
    <w:p w14:paraId="426E0E38" w14:textId="77777777" w:rsidR="00E451AE" w:rsidRDefault="00A03152" w:rsidP="00AF11C0">
      <w:pPr>
        <w:numPr>
          <w:ilvl w:val="0"/>
          <w:numId w:val="7"/>
        </w:numPr>
        <w:tabs>
          <w:tab w:val="left" w:pos="709"/>
        </w:tabs>
        <w:ind w:left="0" w:hanging="2"/>
        <w:jc w:val="both"/>
      </w:pPr>
      <w:r>
        <w:rPr>
          <w:b/>
        </w:rPr>
        <w:t>Răspunderea penală a persoanei juridice</w:t>
      </w:r>
    </w:p>
    <w:p w14:paraId="13244CD8" w14:textId="77777777" w:rsidR="00E451AE" w:rsidRDefault="00A03152">
      <w:pPr>
        <w:numPr>
          <w:ilvl w:val="1"/>
          <w:numId w:val="7"/>
        </w:numPr>
        <w:ind w:left="0" w:hanging="2"/>
        <w:jc w:val="both"/>
      </w:pPr>
      <w:r>
        <w:t>Dispoziţii generale;</w:t>
      </w:r>
    </w:p>
    <w:p w14:paraId="72A4AD6B" w14:textId="77777777" w:rsidR="00E451AE" w:rsidRDefault="00A03152">
      <w:pPr>
        <w:numPr>
          <w:ilvl w:val="1"/>
          <w:numId w:val="7"/>
        </w:numPr>
        <w:ind w:left="0" w:hanging="2"/>
        <w:jc w:val="both"/>
      </w:pPr>
      <w:r>
        <w:t>Regimul pedepselor complementare aplicate persoanei juridice;</w:t>
      </w:r>
    </w:p>
    <w:p w14:paraId="329DCF7E" w14:textId="77777777" w:rsidR="00E451AE" w:rsidRDefault="00A03152">
      <w:pPr>
        <w:numPr>
          <w:ilvl w:val="1"/>
          <w:numId w:val="7"/>
        </w:numPr>
        <w:ind w:left="0" w:hanging="2"/>
        <w:jc w:val="both"/>
      </w:pPr>
      <w:r>
        <w:t>Dispoziţii comune;</w:t>
      </w:r>
    </w:p>
    <w:p w14:paraId="6B2DE4B8" w14:textId="77777777" w:rsidR="00E451AE" w:rsidRDefault="00E451AE">
      <w:pPr>
        <w:ind w:left="0" w:hanging="2"/>
        <w:jc w:val="both"/>
      </w:pPr>
    </w:p>
    <w:p w14:paraId="5AAC5FC7" w14:textId="77777777" w:rsidR="00E451AE" w:rsidRDefault="00A03152" w:rsidP="00AF11C0">
      <w:pPr>
        <w:numPr>
          <w:ilvl w:val="0"/>
          <w:numId w:val="7"/>
        </w:numPr>
        <w:tabs>
          <w:tab w:val="left" w:pos="709"/>
        </w:tabs>
        <w:ind w:left="0" w:hanging="2"/>
        <w:jc w:val="both"/>
      </w:pPr>
      <w:r>
        <w:rPr>
          <w:b/>
        </w:rPr>
        <w:t>Cauzele care înlătură răspunderea penală;</w:t>
      </w:r>
    </w:p>
    <w:p w14:paraId="21E335BA" w14:textId="77777777" w:rsidR="00E451AE" w:rsidRDefault="00E451AE">
      <w:pPr>
        <w:tabs>
          <w:tab w:val="left" w:pos="1260"/>
        </w:tabs>
        <w:ind w:left="0" w:hanging="2"/>
        <w:jc w:val="both"/>
      </w:pPr>
    </w:p>
    <w:p w14:paraId="2490F1A5" w14:textId="77777777" w:rsidR="00E451AE" w:rsidRDefault="00A03152" w:rsidP="00AF11C0">
      <w:pPr>
        <w:numPr>
          <w:ilvl w:val="0"/>
          <w:numId w:val="7"/>
        </w:numPr>
        <w:tabs>
          <w:tab w:val="left" w:pos="709"/>
        </w:tabs>
        <w:ind w:left="0" w:hanging="2"/>
        <w:jc w:val="both"/>
      </w:pPr>
      <w:r>
        <w:rPr>
          <w:b/>
        </w:rPr>
        <w:t>Cauzele care înlătură sau modifică executarea pedepsei;</w:t>
      </w:r>
    </w:p>
    <w:p w14:paraId="67930EF2" w14:textId="77777777" w:rsidR="00E451AE" w:rsidRDefault="00E451AE">
      <w:pPr>
        <w:tabs>
          <w:tab w:val="left" w:pos="1260"/>
        </w:tabs>
        <w:ind w:left="0" w:hanging="2"/>
        <w:jc w:val="both"/>
      </w:pPr>
    </w:p>
    <w:p w14:paraId="0FB1491C" w14:textId="77777777" w:rsidR="00E451AE" w:rsidRDefault="00A03152" w:rsidP="00AF11C0">
      <w:pPr>
        <w:numPr>
          <w:ilvl w:val="0"/>
          <w:numId w:val="7"/>
        </w:numPr>
        <w:ind w:left="0" w:hanging="2"/>
        <w:jc w:val="both"/>
      </w:pPr>
      <w:r>
        <w:rPr>
          <w:b/>
        </w:rPr>
        <w:t>Cauzele care înlătură consecinţele condamnării;</w:t>
      </w:r>
    </w:p>
    <w:p w14:paraId="1F4E7FEE" w14:textId="77777777" w:rsidR="00E451AE" w:rsidRDefault="00E451AE">
      <w:pPr>
        <w:tabs>
          <w:tab w:val="left" w:pos="1260"/>
        </w:tabs>
        <w:ind w:left="0" w:hanging="2"/>
        <w:jc w:val="both"/>
      </w:pPr>
    </w:p>
    <w:p w14:paraId="218E8F40" w14:textId="77777777" w:rsidR="00E451AE" w:rsidRDefault="00A03152" w:rsidP="00AF11C0">
      <w:pPr>
        <w:numPr>
          <w:ilvl w:val="0"/>
          <w:numId w:val="7"/>
        </w:numPr>
        <w:tabs>
          <w:tab w:val="left" w:pos="709"/>
        </w:tabs>
        <w:ind w:left="0" w:hanging="2"/>
        <w:jc w:val="both"/>
      </w:pPr>
      <w:r>
        <w:rPr>
          <w:b/>
        </w:rPr>
        <w:t>Înţelesul unor termeni sau expresii în lege penală.</w:t>
      </w:r>
    </w:p>
    <w:p w14:paraId="751A5028" w14:textId="77777777" w:rsidR="00E451AE" w:rsidRDefault="00E451AE">
      <w:pPr>
        <w:tabs>
          <w:tab w:val="left" w:pos="1260"/>
        </w:tabs>
        <w:ind w:left="0" w:hanging="2"/>
        <w:jc w:val="both"/>
      </w:pPr>
    </w:p>
    <w:p w14:paraId="0D81FA6E" w14:textId="77777777" w:rsidR="00E451AE" w:rsidRDefault="00E451AE">
      <w:pPr>
        <w:tabs>
          <w:tab w:val="left" w:pos="1260"/>
        </w:tabs>
        <w:ind w:left="0" w:hanging="2"/>
        <w:jc w:val="both"/>
      </w:pPr>
    </w:p>
    <w:p w14:paraId="4E711704" w14:textId="77777777" w:rsidR="00E451AE" w:rsidRDefault="00A03152" w:rsidP="00AF11C0">
      <w:pPr>
        <w:pStyle w:val="Subtitle"/>
        <w:numPr>
          <w:ilvl w:val="0"/>
          <w:numId w:val="9"/>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Partea specială a codului penal:</w:t>
      </w:r>
    </w:p>
    <w:p w14:paraId="638CD21D" w14:textId="77777777" w:rsidR="00E451AE" w:rsidRDefault="00E451AE">
      <w:pPr>
        <w:pStyle w:val="Subtitle"/>
        <w:ind w:left="0" w:hanging="2"/>
        <w:rPr>
          <w:rFonts w:ascii="Times New Roman" w:eastAsia="Times New Roman" w:hAnsi="Times New Roman" w:cs="Times New Roman"/>
          <w:sz w:val="16"/>
          <w:szCs w:val="16"/>
        </w:rPr>
      </w:pPr>
    </w:p>
    <w:p w14:paraId="2C657E53"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Infracţiuni contra persoanei </w:t>
      </w:r>
    </w:p>
    <w:p w14:paraId="4CABFD2F" w14:textId="77777777" w:rsidR="00E451AE" w:rsidRDefault="00A03152" w:rsidP="00AF11C0">
      <w:pPr>
        <w:pStyle w:val="Subtitle"/>
        <w:numPr>
          <w:ilvl w:val="1"/>
          <w:numId w:val="2"/>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contra vieţii;</w:t>
      </w:r>
    </w:p>
    <w:p w14:paraId="7D1CD567" w14:textId="1153AC78" w:rsidR="00E451AE" w:rsidRDefault="00A03152" w:rsidP="00AF11C0">
      <w:pPr>
        <w:pStyle w:val="Subtitle"/>
        <w:numPr>
          <w:ilvl w:val="1"/>
          <w:numId w:val="2"/>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contra integrităţii corporale sau sănătăţii;</w:t>
      </w:r>
    </w:p>
    <w:p w14:paraId="5633CEBF" w14:textId="77777777" w:rsidR="00E451AE" w:rsidRDefault="00A03152" w:rsidP="00AF11C0">
      <w:pPr>
        <w:pStyle w:val="Subtitle"/>
        <w:numPr>
          <w:ilvl w:val="1"/>
          <w:numId w:val="2"/>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săvârşite contra unui membru de familie;</w:t>
      </w:r>
    </w:p>
    <w:p w14:paraId="1C8F58D2" w14:textId="77777777" w:rsidR="00E451AE" w:rsidRDefault="00A03152" w:rsidP="00AF11C0">
      <w:pPr>
        <w:pStyle w:val="Subtitle"/>
        <w:numPr>
          <w:ilvl w:val="1"/>
          <w:numId w:val="2"/>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agresiuni asupra fătului;</w:t>
      </w:r>
    </w:p>
    <w:p w14:paraId="424F2530" w14:textId="77777777" w:rsidR="00E451AE" w:rsidRDefault="00A03152" w:rsidP="00AF11C0">
      <w:pPr>
        <w:pStyle w:val="Subtitle"/>
        <w:numPr>
          <w:ilvl w:val="1"/>
          <w:numId w:val="2"/>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infracțiuni privind obligația de asistență a celor în primejdie;</w:t>
      </w:r>
    </w:p>
    <w:p w14:paraId="7152856A" w14:textId="77777777" w:rsidR="00E451AE" w:rsidRDefault="00A03152" w:rsidP="00AF11C0">
      <w:pPr>
        <w:pStyle w:val="Subtitle"/>
        <w:numPr>
          <w:ilvl w:val="1"/>
          <w:numId w:val="2"/>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contra libertăţii persoanei;</w:t>
      </w:r>
    </w:p>
    <w:p w14:paraId="05D531B1" w14:textId="77777777" w:rsidR="00E451AE" w:rsidRDefault="00A03152" w:rsidP="00AF11C0">
      <w:pPr>
        <w:pStyle w:val="Subtitle"/>
        <w:numPr>
          <w:ilvl w:val="1"/>
          <w:numId w:val="2"/>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traficul şi exploatarea persoanelor vulnerabile;</w:t>
      </w:r>
    </w:p>
    <w:p w14:paraId="5EE00247" w14:textId="77777777" w:rsidR="00E451AE" w:rsidRDefault="00A03152" w:rsidP="00AF11C0">
      <w:pPr>
        <w:pStyle w:val="Subtitle"/>
        <w:numPr>
          <w:ilvl w:val="1"/>
          <w:numId w:val="2"/>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contra libertăţii şi integrităţii sexuale;</w:t>
      </w:r>
    </w:p>
    <w:p w14:paraId="52C459B9" w14:textId="77777777" w:rsidR="00E451AE" w:rsidRDefault="00A03152" w:rsidP="00AF11C0">
      <w:pPr>
        <w:pStyle w:val="Subtitle"/>
        <w:numPr>
          <w:ilvl w:val="1"/>
          <w:numId w:val="2"/>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ce aduc atingere domiciliului şi vieții private;</w:t>
      </w:r>
    </w:p>
    <w:p w14:paraId="51B2F8AE" w14:textId="77777777" w:rsidR="00E451AE" w:rsidRDefault="00E451AE">
      <w:pPr>
        <w:pStyle w:val="Subtitle"/>
        <w:ind w:left="0" w:hanging="2"/>
        <w:rPr>
          <w:rFonts w:ascii="Times New Roman" w:eastAsia="Times New Roman" w:hAnsi="Times New Roman" w:cs="Times New Roman"/>
          <w:sz w:val="16"/>
          <w:szCs w:val="16"/>
        </w:rPr>
      </w:pPr>
    </w:p>
    <w:p w14:paraId="59FB0952" w14:textId="77777777" w:rsidR="00E451AE" w:rsidRDefault="00A03152" w:rsidP="00AF11C0">
      <w:pPr>
        <w:pStyle w:val="Subtitle"/>
        <w:numPr>
          <w:ilvl w:val="0"/>
          <w:numId w:val="8"/>
        </w:numPr>
        <w:tabs>
          <w:tab w:val="left" w:pos="709"/>
        </w:tabs>
        <w:ind w:left="0" w:hanging="2"/>
        <w:rPr>
          <w:rFonts w:ascii="Times New Roman" w:eastAsia="Times New Roman" w:hAnsi="Times New Roman" w:cs="Times New Roman"/>
          <w:sz w:val="12"/>
          <w:szCs w:val="12"/>
        </w:rPr>
      </w:pPr>
      <w:r>
        <w:rPr>
          <w:rFonts w:ascii="Times New Roman" w:eastAsia="Times New Roman" w:hAnsi="Times New Roman" w:cs="Times New Roman"/>
          <w:b/>
          <w:sz w:val="24"/>
          <w:szCs w:val="24"/>
        </w:rPr>
        <w:t xml:space="preserve">Infracţiuni contra patrimoniului </w:t>
      </w:r>
    </w:p>
    <w:p w14:paraId="0EA16E07"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12"/>
          <w:szCs w:val="12"/>
        </w:rPr>
      </w:pPr>
      <w:r>
        <w:rPr>
          <w:rFonts w:ascii="Times New Roman" w:eastAsia="Times New Roman" w:hAnsi="Times New Roman" w:cs="Times New Roman"/>
          <w:sz w:val="24"/>
          <w:szCs w:val="24"/>
        </w:rPr>
        <w:t>furtul;</w:t>
      </w:r>
    </w:p>
    <w:p w14:paraId="6206B0D9"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12"/>
          <w:szCs w:val="12"/>
        </w:rPr>
      </w:pPr>
      <w:r>
        <w:rPr>
          <w:rFonts w:ascii="Times New Roman" w:eastAsia="Times New Roman" w:hAnsi="Times New Roman" w:cs="Times New Roman"/>
          <w:sz w:val="24"/>
          <w:szCs w:val="24"/>
        </w:rPr>
        <w:t>tâlhăria: art. 233, art. 234, art. 236, art. 237;</w:t>
      </w:r>
    </w:p>
    <w:p w14:paraId="35BB586A"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12"/>
          <w:szCs w:val="12"/>
        </w:rPr>
      </w:pPr>
      <w:r>
        <w:rPr>
          <w:rFonts w:ascii="Times New Roman" w:eastAsia="Times New Roman" w:hAnsi="Times New Roman" w:cs="Times New Roman"/>
          <w:sz w:val="24"/>
          <w:szCs w:val="24"/>
        </w:rPr>
        <w:t>infracţiuni contra patrimoniului prin nesocotirea încrederii;</w:t>
      </w:r>
    </w:p>
    <w:p w14:paraId="6F3B9D57"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12"/>
          <w:szCs w:val="12"/>
        </w:rPr>
      </w:pPr>
      <w:r>
        <w:rPr>
          <w:rFonts w:ascii="Times New Roman" w:eastAsia="Times New Roman" w:hAnsi="Times New Roman" w:cs="Times New Roman"/>
          <w:sz w:val="24"/>
          <w:szCs w:val="24"/>
        </w:rPr>
        <w:t>fraude comise prin sisteme informatice şi mijloace de plată electronice;</w:t>
      </w:r>
    </w:p>
    <w:p w14:paraId="5D1013B5"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12"/>
          <w:szCs w:val="12"/>
        </w:rPr>
      </w:pPr>
      <w:r>
        <w:rPr>
          <w:rFonts w:ascii="Times New Roman" w:eastAsia="Times New Roman" w:hAnsi="Times New Roman" w:cs="Times New Roman"/>
          <w:sz w:val="24"/>
          <w:szCs w:val="24"/>
        </w:rPr>
        <w:t>distrugerea și tulburarea de posesie;</w:t>
      </w:r>
    </w:p>
    <w:p w14:paraId="4CD0DF65"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12"/>
          <w:szCs w:val="12"/>
        </w:rPr>
      </w:pPr>
      <w:r>
        <w:rPr>
          <w:rFonts w:ascii="Times New Roman" w:eastAsia="Times New Roman" w:hAnsi="Times New Roman" w:cs="Times New Roman"/>
          <w:sz w:val="24"/>
          <w:szCs w:val="24"/>
        </w:rPr>
        <w:t>infracțiuni care au produs consecințe deosebit de grave;</w:t>
      </w:r>
    </w:p>
    <w:p w14:paraId="0416FAF7" w14:textId="77777777" w:rsidR="00E451AE" w:rsidRDefault="00E451AE">
      <w:pPr>
        <w:pStyle w:val="Subtitle"/>
        <w:tabs>
          <w:tab w:val="left" w:pos="1260"/>
          <w:tab w:val="left" w:pos="1980"/>
        </w:tabs>
        <w:rPr>
          <w:rFonts w:ascii="Times New Roman" w:eastAsia="Times New Roman" w:hAnsi="Times New Roman" w:cs="Times New Roman"/>
          <w:sz w:val="12"/>
          <w:szCs w:val="12"/>
        </w:rPr>
      </w:pPr>
    </w:p>
    <w:p w14:paraId="00A67DF9" w14:textId="77777777" w:rsidR="00E451AE" w:rsidRDefault="00A03152" w:rsidP="00AF11C0">
      <w:pPr>
        <w:pStyle w:val="Subtitle"/>
        <w:numPr>
          <w:ilvl w:val="0"/>
          <w:numId w:val="8"/>
        </w:numPr>
        <w:tabs>
          <w:tab w:val="left" w:pos="709"/>
        </w:tabs>
        <w:ind w:left="0" w:hanging="2"/>
        <w:rPr>
          <w:rFonts w:ascii="Times New Roman" w:eastAsia="Times New Roman" w:hAnsi="Times New Roman" w:cs="Times New Roman"/>
          <w:sz w:val="12"/>
          <w:szCs w:val="12"/>
        </w:rPr>
      </w:pPr>
      <w:r>
        <w:rPr>
          <w:rFonts w:ascii="Times New Roman" w:eastAsia="Times New Roman" w:hAnsi="Times New Roman" w:cs="Times New Roman"/>
          <w:b/>
          <w:sz w:val="24"/>
          <w:szCs w:val="24"/>
        </w:rPr>
        <w:t xml:space="preserve">Infracţiuni contra autorităţii </w:t>
      </w:r>
    </w:p>
    <w:p w14:paraId="0E3B5B54" w14:textId="77777777" w:rsidR="00E451AE" w:rsidRDefault="00A03152" w:rsidP="00AF11C0">
      <w:pPr>
        <w:pStyle w:val="Subtitle"/>
        <w:numPr>
          <w:ilvl w:val="1"/>
          <w:numId w:val="8"/>
        </w:numPr>
        <w:tabs>
          <w:tab w:val="left" w:pos="709"/>
          <w:tab w:val="left" w:pos="1980"/>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contra autorităţii;</w:t>
      </w:r>
    </w:p>
    <w:p w14:paraId="162B5CE4" w14:textId="77777777" w:rsidR="00E451AE" w:rsidRDefault="00A03152" w:rsidP="00AF11C0">
      <w:pPr>
        <w:pStyle w:val="Subtitle"/>
        <w:numPr>
          <w:ilvl w:val="1"/>
          <w:numId w:val="8"/>
        </w:numPr>
        <w:tabs>
          <w:tab w:val="left" w:pos="709"/>
          <w:tab w:val="left" w:pos="1980"/>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privind frontiera de stat;</w:t>
      </w:r>
    </w:p>
    <w:p w14:paraId="18975EB9" w14:textId="77777777" w:rsidR="00E451AE" w:rsidRDefault="00E451AE">
      <w:pPr>
        <w:pStyle w:val="Subtitle"/>
        <w:tabs>
          <w:tab w:val="left" w:pos="1980"/>
        </w:tabs>
        <w:rPr>
          <w:rFonts w:ascii="Times New Roman" w:eastAsia="Times New Roman" w:hAnsi="Times New Roman" w:cs="Times New Roman"/>
          <w:sz w:val="12"/>
          <w:szCs w:val="12"/>
        </w:rPr>
      </w:pPr>
    </w:p>
    <w:p w14:paraId="0219B0C5"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Infracţiuni contra înfăptuirii justiţiei</w:t>
      </w:r>
      <w:r>
        <w:rPr>
          <w:rFonts w:ascii="Times New Roman" w:eastAsia="Times New Roman" w:hAnsi="Times New Roman" w:cs="Times New Roman"/>
          <w:sz w:val="24"/>
          <w:szCs w:val="24"/>
        </w:rPr>
        <w:t>;</w:t>
      </w:r>
    </w:p>
    <w:p w14:paraId="2E9F3153" w14:textId="77777777" w:rsidR="00E451AE" w:rsidRDefault="00E451AE">
      <w:pPr>
        <w:pStyle w:val="Subtitle"/>
        <w:ind w:left="0" w:hanging="2"/>
        <w:rPr>
          <w:rFonts w:ascii="Times New Roman" w:eastAsia="Times New Roman" w:hAnsi="Times New Roman" w:cs="Times New Roman"/>
          <w:sz w:val="16"/>
          <w:szCs w:val="16"/>
        </w:rPr>
      </w:pPr>
    </w:p>
    <w:p w14:paraId="2C33FE62"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Infracţiuni de corupţie şi de serviciu</w:t>
      </w:r>
      <w:r>
        <w:rPr>
          <w:rFonts w:ascii="Times New Roman" w:eastAsia="Times New Roman" w:hAnsi="Times New Roman" w:cs="Times New Roman"/>
          <w:sz w:val="24"/>
          <w:szCs w:val="24"/>
        </w:rPr>
        <w:t>:</w:t>
      </w:r>
    </w:p>
    <w:p w14:paraId="61B2B16E" w14:textId="77777777" w:rsidR="00E451AE" w:rsidRDefault="00A03152" w:rsidP="00AF11C0">
      <w:pPr>
        <w:pStyle w:val="Subtitle"/>
        <w:numPr>
          <w:ilvl w:val="1"/>
          <w:numId w:val="8"/>
        </w:numPr>
        <w:tabs>
          <w:tab w:val="left" w:pos="709"/>
          <w:tab w:val="left" w:pos="1980"/>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infracțiuni de corupție;</w:t>
      </w:r>
    </w:p>
    <w:p w14:paraId="1F4DB785" w14:textId="77777777" w:rsidR="00E451AE" w:rsidRDefault="00A03152" w:rsidP="00AF11C0">
      <w:pPr>
        <w:pStyle w:val="Subtitle"/>
        <w:numPr>
          <w:ilvl w:val="1"/>
          <w:numId w:val="8"/>
        </w:numPr>
        <w:tabs>
          <w:tab w:val="left" w:pos="709"/>
          <w:tab w:val="left" w:pos="1980"/>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infracțiuni de serviciu.</w:t>
      </w:r>
    </w:p>
    <w:p w14:paraId="0386305A" w14:textId="77777777" w:rsidR="00E451AE" w:rsidRDefault="00E451AE">
      <w:pPr>
        <w:pStyle w:val="Subtitle"/>
        <w:ind w:left="0" w:hanging="2"/>
        <w:rPr>
          <w:rFonts w:ascii="Times New Roman" w:eastAsia="Times New Roman" w:hAnsi="Times New Roman" w:cs="Times New Roman"/>
          <w:sz w:val="16"/>
          <w:szCs w:val="16"/>
        </w:rPr>
      </w:pPr>
    </w:p>
    <w:p w14:paraId="4DF9A7AA"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Infracţiuni de fals </w:t>
      </w:r>
    </w:p>
    <w:p w14:paraId="7DA1FCB8"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falsificarea de monedă, timbre sau de alte valori;</w:t>
      </w:r>
    </w:p>
    <w:p w14:paraId="4A69287D"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falsuri în înscrisuri;</w:t>
      </w:r>
    </w:p>
    <w:p w14:paraId="3F4310D0" w14:textId="77777777" w:rsidR="00E451AE" w:rsidRDefault="00E451AE">
      <w:pPr>
        <w:pStyle w:val="Subtitle"/>
        <w:tabs>
          <w:tab w:val="left" w:pos="1980"/>
        </w:tabs>
        <w:ind w:left="0" w:hanging="2"/>
        <w:rPr>
          <w:rFonts w:ascii="Times New Roman" w:eastAsia="Times New Roman" w:hAnsi="Times New Roman" w:cs="Times New Roman"/>
          <w:sz w:val="16"/>
          <w:szCs w:val="16"/>
        </w:rPr>
      </w:pPr>
    </w:p>
    <w:p w14:paraId="0AE8C765"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Infracţiuni contra siguranţei publice</w:t>
      </w:r>
    </w:p>
    <w:p w14:paraId="1F361A47"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infracțiuni contra siguranţei circulaţiei pe drumurile publice;</w:t>
      </w:r>
    </w:p>
    <w:p w14:paraId="799ACC30" w14:textId="77777777" w:rsidR="00E451AE" w:rsidRDefault="00A03152" w:rsidP="00AF11C0">
      <w:pPr>
        <w:pStyle w:val="Subtitle"/>
        <w:numPr>
          <w:ilvl w:val="1"/>
          <w:numId w:val="8"/>
        </w:numPr>
        <w:ind w:left="708" w:hangingChars="296" w:hanging="710"/>
        <w:rPr>
          <w:rFonts w:ascii="Times New Roman" w:eastAsia="Times New Roman" w:hAnsi="Times New Roman" w:cs="Times New Roman"/>
          <w:sz w:val="24"/>
          <w:szCs w:val="24"/>
        </w:rPr>
      </w:pPr>
      <w:r>
        <w:rPr>
          <w:rFonts w:ascii="Times New Roman" w:eastAsia="Times New Roman" w:hAnsi="Times New Roman" w:cs="Times New Roman"/>
          <w:sz w:val="24"/>
          <w:szCs w:val="24"/>
        </w:rPr>
        <w:t>nerespectarea regimului armelor, muniţiilor, materialelor nucleare şi al materiilor explozive: art. 342, art. 343, art. 344, art. 346, art. 347;</w:t>
      </w:r>
    </w:p>
    <w:p w14:paraId="429848B2"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privitoare la regimul stabilit pentru alte activităţi prevăzute de lege;</w:t>
      </w:r>
    </w:p>
    <w:p w14:paraId="6729A6DC"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contra sănătăţii publice: art. 352, art. 352</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w:t>
      </w:r>
    </w:p>
    <w:p w14:paraId="43F329BA"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contra siguranţei şi integrităţii sistemelor şi datelor informatice;</w:t>
      </w:r>
    </w:p>
    <w:p w14:paraId="62949C4F" w14:textId="77777777" w:rsidR="00E451AE" w:rsidRDefault="00E451AE">
      <w:pPr>
        <w:pStyle w:val="Subtitle"/>
        <w:ind w:left="0" w:hanging="2"/>
        <w:rPr>
          <w:rFonts w:ascii="Times New Roman" w:eastAsia="Times New Roman" w:hAnsi="Times New Roman" w:cs="Times New Roman"/>
          <w:sz w:val="24"/>
          <w:szCs w:val="24"/>
        </w:rPr>
      </w:pPr>
    </w:p>
    <w:p w14:paraId="7A3D776F"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Infracţiuni care aduc atingere unor relaţii privind convieţuirea socială</w:t>
      </w:r>
    </w:p>
    <w:p w14:paraId="231BDD61"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contra ordinii şi liniştii publice;</w:t>
      </w:r>
    </w:p>
    <w:p w14:paraId="7F08960B" w14:textId="77777777" w:rsidR="00E451AE" w:rsidRDefault="00A03152" w:rsidP="00AF11C0">
      <w:pPr>
        <w:pStyle w:val="Subtitle"/>
        <w:numPr>
          <w:ilvl w:val="1"/>
          <w:numId w:val="8"/>
        </w:numPr>
        <w:tabs>
          <w:tab w:val="left" w:pos="709"/>
        </w:tabs>
        <w:ind w:left="0" w:hanging="2"/>
        <w:rPr>
          <w:rFonts w:ascii="Times New Roman" w:eastAsia="Times New Roman" w:hAnsi="Times New Roman" w:cs="Times New Roman"/>
          <w:sz w:val="24"/>
          <w:szCs w:val="24"/>
        </w:rPr>
      </w:pPr>
      <w:r>
        <w:rPr>
          <w:rFonts w:ascii="Times New Roman" w:eastAsia="Times New Roman" w:hAnsi="Times New Roman" w:cs="Times New Roman"/>
          <w:sz w:val="24"/>
          <w:szCs w:val="24"/>
        </w:rPr>
        <w:t>infracţiuni contra familiei;</w:t>
      </w:r>
    </w:p>
    <w:p w14:paraId="077132F7" w14:textId="77777777" w:rsidR="00E451AE" w:rsidRDefault="00E451AE">
      <w:pPr>
        <w:pStyle w:val="Subtitle"/>
        <w:tabs>
          <w:tab w:val="left" w:pos="1980"/>
        </w:tabs>
        <w:ind w:left="0" w:hanging="2"/>
        <w:rPr>
          <w:rFonts w:ascii="Times New Roman" w:eastAsia="Times New Roman" w:hAnsi="Times New Roman" w:cs="Times New Roman"/>
          <w:sz w:val="24"/>
          <w:szCs w:val="24"/>
        </w:rPr>
      </w:pPr>
    </w:p>
    <w:p w14:paraId="1CBCD0B9" w14:textId="77777777" w:rsidR="00E451AE" w:rsidRDefault="00E451AE">
      <w:pPr>
        <w:pStyle w:val="Subtitle"/>
        <w:ind w:left="0" w:hanging="2"/>
        <w:rPr>
          <w:rFonts w:ascii="Times New Roman" w:eastAsia="Times New Roman" w:hAnsi="Times New Roman" w:cs="Times New Roman"/>
          <w:sz w:val="24"/>
          <w:szCs w:val="24"/>
        </w:rPr>
      </w:pPr>
    </w:p>
    <w:p w14:paraId="12A01C61" w14:textId="77777777" w:rsidR="00E451AE" w:rsidRDefault="00E451AE">
      <w:pPr>
        <w:pStyle w:val="Subtitle"/>
        <w:ind w:left="0" w:hanging="2"/>
        <w:rPr>
          <w:rFonts w:ascii="Times New Roman" w:eastAsia="Times New Roman" w:hAnsi="Times New Roman" w:cs="Times New Roman"/>
          <w:sz w:val="24"/>
          <w:szCs w:val="24"/>
        </w:rPr>
      </w:pPr>
    </w:p>
    <w:p w14:paraId="236D808B" w14:textId="77777777" w:rsidR="00E451AE" w:rsidRDefault="00E451AE">
      <w:pPr>
        <w:pStyle w:val="Subtitle"/>
        <w:tabs>
          <w:tab w:val="left" w:pos="1260"/>
        </w:tabs>
        <w:ind w:left="0" w:hanging="2"/>
        <w:rPr>
          <w:rFonts w:ascii="Times New Roman" w:eastAsia="Times New Roman" w:hAnsi="Times New Roman" w:cs="Times New Roman"/>
          <w:sz w:val="24"/>
          <w:szCs w:val="24"/>
        </w:rPr>
      </w:pPr>
    </w:p>
    <w:p w14:paraId="3AE91D07" w14:textId="77777777" w:rsidR="00E451AE" w:rsidRDefault="00A03152">
      <w:pPr>
        <w:pStyle w:val="Subtitle"/>
        <w:tabs>
          <w:tab w:val="left" w:pos="1260"/>
        </w:tabs>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Infracţiuni incriminate de legi speciale</w:t>
      </w:r>
    </w:p>
    <w:p w14:paraId="1C0B68CA" w14:textId="77777777" w:rsidR="00E451AE" w:rsidRDefault="00E451AE">
      <w:pPr>
        <w:pStyle w:val="Subtitle"/>
        <w:tabs>
          <w:tab w:val="left" w:pos="1260"/>
        </w:tabs>
        <w:rPr>
          <w:rFonts w:ascii="Times New Roman" w:eastAsia="Times New Roman" w:hAnsi="Times New Roman" w:cs="Times New Roman"/>
          <w:sz w:val="12"/>
          <w:szCs w:val="12"/>
        </w:rPr>
      </w:pPr>
    </w:p>
    <w:p w14:paraId="7CBFDFA7"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Infracţiuni de corupţie, infracţiuni asimilate infracţiunilor de corupţie, infracţiuni în legătură directă cu infracţiunile de corupţie sau cu cele asimilate acestora:</w:t>
      </w:r>
    </w:p>
    <w:p w14:paraId="67F3F470" w14:textId="1D9FA5E2" w:rsidR="00E451AE" w:rsidRDefault="00A03152" w:rsidP="00AF11C0">
      <w:pPr>
        <w:tabs>
          <w:tab w:val="left" w:pos="709"/>
        </w:tabs>
        <w:ind w:left="0" w:hanging="2"/>
        <w:jc w:val="both"/>
        <w:rPr>
          <w:sz w:val="12"/>
          <w:szCs w:val="12"/>
        </w:rPr>
      </w:pPr>
      <w:r>
        <w:t xml:space="preserve"> </w:t>
      </w:r>
      <w:r w:rsidR="00A71B4A">
        <w:tab/>
      </w:r>
      <w:r>
        <w:t xml:space="preserve">Infracţiuni de corupţie, asimilate infracţiunilor de corupţie, în legătură directă cu infracţiunile de corupţie din Legea nr. 78/2000 pentru prevenirea, descoperirea şi sancţionarea faptelor de corupţie, cu modificările și completările ulterioare; </w:t>
      </w:r>
    </w:p>
    <w:p w14:paraId="14F566C0" w14:textId="77777777" w:rsidR="00E451AE" w:rsidRDefault="00E451AE">
      <w:pPr>
        <w:tabs>
          <w:tab w:val="left" w:pos="1260"/>
          <w:tab w:val="left" w:pos="2160"/>
        </w:tabs>
        <w:jc w:val="both"/>
        <w:rPr>
          <w:sz w:val="12"/>
          <w:szCs w:val="12"/>
        </w:rPr>
      </w:pPr>
    </w:p>
    <w:p w14:paraId="2573831B"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Infracţiuni prevăzute în Legea nr. 143/2000 privind combaterea traficului şi consumului ilicit de droguri, cu modificările și completările ulterioare</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p>
    <w:p w14:paraId="5B7974DB" w14:textId="77777777" w:rsidR="00E451AE" w:rsidRDefault="00E451AE">
      <w:pPr>
        <w:pStyle w:val="Subtitle"/>
        <w:ind w:left="0" w:hanging="2"/>
        <w:rPr>
          <w:rFonts w:ascii="Times New Roman" w:eastAsia="Times New Roman" w:hAnsi="Times New Roman" w:cs="Times New Roman"/>
          <w:sz w:val="24"/>
          <w:szCs w:val="24"/>
        </w:rPr>
      </w:pPr>
    </w:p>
    <w:p w14:paraId="5D84CB6D"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Infracţiuni prevăzute în Legea nr. 241/2005 pentru prevenirea şi combaterea evaziunii fiscale, cu modificările și completările ulterioare</w:t>
      </w:r>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p>
    <w:p w14:paraId="4A7CF495" w14:textId="77777777" w:rsidR="00E451AE" w:rsidRDefault="00E451AE">
      <w:pPr>
        <w:pBdr>
          <w:top w:val="nil"/>
          <w:left w:val="nil"/>
          <w:bottom w:val="nil"/>
          <w:right w:val="nil"/>
          <w:between w:val="nil"/>
        </w:pBdr>
        <w:spacing w:line="240" w:lineRule="auto"/>
        <w:ind w:left="0" w:hanging="2"/>
      </w:pPr>
    </w:p>
    <w:p w14:paraId="36BFC5C1"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Infracţiuni prevăzute în Legea nr. 129/2019 pentru prevenirea şi combaterea spălării banilor și finanțării terorismului, cu modificările și completările ulterioare</w:t>
      </w:r>
    </w:p>
    <w:p w14:paraId="76125DD8" w14:textId="77777777" w:rsidR="00E451AE" w:rsidRDefault="00E451AE">
      <w:pPr>
        <w:pStyle w:val="Subtitle"/>
        <w:ind w:left="0" w:hanging="2"/>
        <w:rPr>
          <w:rFonts w:ascii="Times New Roman" w:eastAsia="Times New Roman" w:hAnsi="Times New Roman" w:cs="Times New Roman"/>
          <w:sz w:val="24"/>
          <w:szCs w:val="24"/>
        </w:rPr>
      </w:pPr>
    </w:p>
    <w:p w14:paraId="39A7146A"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Infracțiuni prevăzute de Legea nr. 194/2011 privind combaterea operaţiunilor cu produse susceptibile de a avea efecte psihoactive, altele decât cele prevăzute de acte normative în vigoare, cu modificările si completările ulterioare;</w:t>
      </w:r>
    </w:p>
    <w:p w14:paraId="59C7048B" w14:textId="77777777" w:rsidR="00E451AE" w:rsidRDefault="00E451AE">
      <w:pPr>
        <w:pBdr>
          <w:top w:val="nil"/>
          <w:left w:val="nil"/>
          <w:bottom w:val="nil"/>
          <w:right w:val="nil"/>
          <w:between w:val="nil"/>
        </w:pBdr>
        <w:spacing w:line="240" w:lineRule="auto"/>
        <w:ind w:left="0" w:hanging="2"/>
      </w:pPr>
    </w:p>
    <w:p w14:paraId="430620C3" w14:textId="77777777" w:rsidR="00E451AE" w:rsidRDefault="00A03152">
      <w:pPr>
        <w:pStyle w:val="Subtitle"/>
        <w:numPr>
          <w:ilvl w:val="0"/>
          <w:numId w:val="8"/>
        </w:numPr>
        <w:ind w:left="0" w:hanging="2"/>
        <w:rPr>
          <w:rFonts w:ascii="Times New Roman" w:eastAsia="Times New Roman" w:hAnsi="Times New Roman" w:cs="Times New Roman"/>
          <w:sz w:val="24"/>
          <w:szCs w:val="24"/>
        </w:rPr>
      </w:pPr>
      <w:r>
        <w:rPr>
          <w:rFonts w:ascii="Times New Roman" w:eastAsia="Times New Roman" w:hAnsi="Times New Roman" w:cs="Times New Roman"/>
          <w:b/>
          <w:sz w:val="24"/>
          <w:szCs w:val="24"/>
        </w:rPr>
        <w:t>Infracțiuni prevăzute în Legea nr. 86/2006 privind Codul vamal al României, cu modificările și completările ulterioare.</w:t>
      </w:r>
    </w:p>
    <w:p w14:paraId="5D23B1A1" w14:textId="77777777" w:rsidR="00E451AE" w:rsidRDefault="00A03152">
      <w:pPr>
        <w:ind w:left="0" w:hanging="2"/>
        <w:jc w:val="both"/>
      </w:pPr>
      <w:r>
        <w:rPr>
          <w:b/>
        </w:rPr>
        <w:t xml:space="preserve"> </w:t>
      </w:r>
    </w:p>
    <w:p w14:paraId="3D6250B2" w14:textId="77777777" w:rsidR="00E451AE" w:rsidRDefault="00E451AE">
      <w:pPr>
        <w:ind w:left="0" w:hanging="2"/>
        <w:jc w:val="both"/>
        <w:rPr>
          <w:u w:val="single"/>
        </w:rPr>
      </w:pPr>
    </w:p>
    <w:p w14:paraId="7FBE8305" w14:textId="77777777" w:rsidR="00E451AE" w:rsidRDefault="00A03152">
      <w:pPr>
        <w:ind w:left="0" w:hanging="2"/>
        <w:jc w:val="both"/>
      </w:pPr>
      <w:r>
        <w:rPr>
          <w:b/>
        </w:rPr>
        <w:t xml:space="preserve">III. </w:t>
      </w:r>
      <w:r>
        <w:rPr>
          <w:b/>
        </w:rPr>
        <w:tab/>
        <w:t>Legea nr.187/2012 de punere în aplicare a noului Cod penal, cu modificările ulterioare</w:t>
      </w:r>
    </w:p>
    <w:p w14:paraId="4AB54629" w14:textId="77777777" w:rsidR="00E451AE" w:rsidRDefault="00E451AE">
      <w:pPr>
        <w:tabs>
          <w:tab w:val="left" w:pos="1260"/>
        </w:tabs>
        <w:ind w:left="0" w:hanging="2"/>
        <w:jc w:val="both"/>
      </w:pPr>
    </w:p>
    <w:p w14:paraId="275169BD" w14:textId="77777777" w:rsidR="00E451AE" w:rsidRDefault="00E451AE">
      <w:pPr>
        <w:jc w:val="both"/>
        <w:rPr>
          <w:sz w:val="12"/>
          <w:szCs w:val="12"/>
        </w:rPr>
      </w:pPr>
    </w:p>
    <w:p w14:paraId="79523F23" w14:textId="77777777" w:rsidR="00E451AE" w:rsidRDefault="00A03152">
      <w:pPr>
        <w:tabs>
          <w:tab w:val="left" w:pos="709"/>
        </w:tabs>
        <w:ind w:left="0" w:hanging="2"/>
        <w:jc w:val="both"/>
      </w:pPr>
      <w:r>
        <w:rPr>
          <w:b/>
        </w:rPr>
        <w:t xml:space="preserve">IV. </w:t>
      </w:r>
      <w:r>
        <w:rPr>
          <w:b/>
        </w:rPr>
        <w:tab/>
        <w:t>Cooperare judiciară în materie penală</w:t>
      </w:r>
    </w:p>
    <w:p w14:paraId="634D2CDB" w14:textId="77777777" w:rsidR="00E451AE" w:rsidRDefault="00E451AE">
      <w:pPr>
        <w:jc w:val="both"/>
        <w:rPr>
          <w:sz w:val="12"/>
          <w:szCs w:val="12"/>
        </w:rPr>
      </w:pPr>
    </w:p>
    <w:p w14:paraId="22BEB33D" w14:textId="77777777" w:rsidR="00E451AE" w:rsidRDefault="00A03152" w:rsidP="00AF11C0">
      <w:pPr>
        <w:numPr>
          <w:ilvl w:val="0"/>
          <w:numId w:val="1"/>
        </w:numPr>
        <w:ind w:left="-2" w:firstLineChars="117" w:firstLine="282"/>
        <w:jc w:val="both"/>
      </w:pPr>
      <w:r>
        <w:rPr>
          <w:b/>
        </w:rPr>
        <w:t>Dispoziţii generale;</w:t>
      </w:r>
    </w:p>
    <w:p w14:paraId="08EEF14C" w14:textId="77777777" w:rsidR="00E451AE" w:rsidRDefault="00A03152" w:rsidP="00AF11C0">
      <w:pPr>
        <w:numPr>
          <w:ilvl w:val="0"/>
          <w:numId w:val="1"/>
        </w:numPr>
        <w:ind w:left="-2" w:firstLineChars="117" w:firstLine="282"/>
        <w:jc w:val="both"/>
      </w:pPr>
      <w:r>
        <w:rPr>
          <w:b/>
        </w:rPr>
        <w:t>Procedura extrădării active și pasive;</w:t>
      </w:r>
    </w:p>
    <w:p w14:paraId="51ABA4AF" w14:textId="77777777" w:rsidR="00E451AE" w:rsidRDefault="00A03152" w:rsidP="00AF11C0">
      <w:pPr>
        <w:numPr>
          <w:ilvl w:val="0"/>
          <w:numId w:val="1"/>
        </w:numPr>
        <w:ind w:left="-2" w:firstLineChars="117" w:firstLine="282"/>
        <w:jc w:val="both"/>
      </w:pPr>
      <w:r>
        <w:rPr>
          <w:b/>
        </w:rPr>
        <w:t>Mandatul european de arestare;</w:t>
      </w:r>
    </w:p>
    <w:p w14:paraId="40D9B0A1" w14:textId="77777777" w:rsidR="00E451AE" w:rsidRDefault="00A03152" w:rsidP="00AF11C0">
      <w:pPr>
        <w:numPr>
          <w:ilvl w:val="0"/>
          <w:numId w:val="1"/>
        </w:numPr>
        <w:ind w:left="-2" w:firstLineChars="117" w:firstLine="282"/>
        <w:jc w:val="both"/>
      </w:pPr>
      <w:r>
        <w:rPr>
          <w:b/>
        </w:rPr>
        <w:t>Recunoaşterea si executarea hotărârilor penale şi a actelor judiciare;</w:t>
      </w:r>
    </w:p>
    <w:p w14:paraId="7A59EF45" w14:textId="77777777" w:rsidR="00E451AE" w:rsidRDefault="00A03152" w:rsidP="00AF11C0">
      <w:pPr>
        <w:numPr>
          <w:ilvl w:val="0"/>
          <w:numId w:val="1"/>
        </w:numPr>
        <w:ind w:left="-2" w:firstLineChars="117" w:firstLine="282"/>
        <w:jc w:val="both"/>
      </w:pPr>
      <w:r>
        <w:rPr>
          <w:b/>
        </w:rPr>
        <w:t>Transferul de proceduri în materie penală;</w:t>
      </w:r>
    </w:p>
    <w:p w14:paraId="673D21A6" w14:textId="77777777" w:rsidR="00E451AE" w:rsidRDefault="00A03152" w:rsidP="00AF11C0">
      <w:pPr>
        <w:numPr>
          <w:ilvl w:val="0"/>
          <w:numId w:val="1"/>
        </w:numPr>
        <w:ind w:left="-2" w:firstLineChars="117" w:firstLine="282"/>
        <w:jc w:val="both"/>
      </w:pPr>
      <w:r>
        <w:rPr>
          <w:b/>
        </w:rPr>
        <w:t>Transferarea persoanelor condamnate;</w:t>
      </w:r>
    </w:p>
    <w:p w14:paraId="2F40D99D" w14:textId="77777777" w:rsidR="00E451AE" w:rsidRDefault="00A03152" w:rsidP="00AF11C0">
      <w:pPr>
        <w:numPr>
          <w:ilvl w:val="0"/>
          <w:numId w:val="1"/>
        </w:numPr>
        <w:ind w:left="-2" w:firstLineChars="117" w:firstLine="282"/>
        <w:jc w:val="both"/>
      </w:pPr>
      <w:r>
        <w:rPr>
          <w:b/>
        </w:rPr>
        <w:t>Măsuri de indisponibilizare a produselor infracţiunilor.</w:t>
      </w:r>
    </w:p>
    <w:p w14:paraId="65E91C9F" w14:textId="77777777" w:rsidR="00E451AE" w:rsidRDefault="00E451AE">
      <w:pPr>
        <w:widowControl w:val="0"/>
        <w:spacing w:line="360" w:lineRule="auto"/>
        <w:ind w:left="0" w:hanging="2"/>
      </w:pPr>
    </w:p>
    <w:p w14:paraId="3AFBEFA1" w14:textId="77777777" w:rsidR="00E451AE" w:rsidRDefault="00E451AE">
      <w:pPr>
        <w:widowControl w:val="0"/>
        <w:spacing w:line="360" w:lineRule="auto"/>
        <w:ind w:left="0" w:hanging="2"/>
      </w:pPr>
    </w:p>
    <w:p w14:paraId="6E24D498" w14:textId="77777777" w:rsidR="00E451AE" w:rsidRDefault="00A03152">
      <w:pPr>
        <w:widowControl w:val="0"/>
        <w:spacing w:line="360" w:lineRule="auto"/>
        <w:ind w:left="0" w:hanging="2"/>
        <w:jc w:val="center"/>
      </w:pPr>
      <w:r>
        <w:br w:type="page"/>
      </w:r>
      <w:r>
        <w:rPr>
          <w:b/>
          <w:sz w:val="28"/>
          <w:szCs w:val="28"/>
        </w:rPr>
        <w:lastRenderedPageBreak/>
        <w:t xml:space="preserve">  </w:t>
      </w:r>
      <w:r>
        <w:rPr>
          <w:b/>
        </w:rPr>
        <w:t xml:space="preserve">JURISPRUDENŢA ÎNALTEI CURŢI DE CASAŢIE ŞI JUSTIŢIE </w:t>
      </w:r>
    </w:p>
    <w:p w14:paraId="15FCB4A5" w14:textId="77777777" w:rsidR="00E451AE" w:rsidRDefault="00E451AE">
      <w:pPr>
        <w:tabs>
          <w:tab w:val="left" w:pos="426"/>
          <w:tab w:val="left" w:pos="720"/>
          <w:tab w:val="left" w:pos="1728"/>
          <w:tab w:val="left" w:pos="3456"/>
          <w:tab w:val="left" w:pos="5184"/>
        </w:tabs>
        <w:ind w:left="0" w:hanging="2"/>
        <w:jc w:val="both"/>
      </w:pPr>
    </w:p>
    <w:p w14:paraId="1AAAE74C" w14:textId="77777777" w:rsidR="00E451AE" w:rsidRDefault="00A03152">
      <w:pPr>
        <w:tabs>
          <w:tab w:val="left" w:pos="0"/>
          <w:tab w:val="left" w:pos="720"/>
          <w:tab w:val="left" w:pos="1728"/>
          <w:tab w:val="left" w:pos="3456"/>
          <w:tab w:val="left" w:pos="5184"/>
        </w:tabs>
        <w:ind w:left="0" w:hanging="2"/>
        <w:jc w:val="both"/>
      </w:pPr>
      <w:r>
        <w:rPr>
          <w:b/>
          <w:i/>
        </w:rPr>
        <w:t xml:space="preserve">   </w:t>
      </w:r>
    </w:p>
    <w:p w14:paraId="297821C8" w14:textId="77777777" w:rsidR="00E451AE" w:rsidRDefault="00A03152">
      <w:pPr>
        <w:tabs>
          <w:tab w:val="left" w:pos="0"/>
          <w:tab w:val="left" w:pos="720"/>
          <w:tab w:val="left" w:pos="1728"/>
          <w:tab w:val="left" w:pos="3456"/>
          <w:tab w:val="left" w:pos="5184"/>
        </w:tabs>
        <w:ind w:left="0" w:hanging="2"/>
        <w:jc w:val="both"/>
      </w:pPr>
      <w:bookmarkStart w:id="0" w:name="_Hlk105147302"/>
      <w:bookmarkStart w:id="1" w:name="_Hlk105147284"/>
      <w:r>
        <w:rPr>
          <w:b/>
        </w:rPr>
        <w:t xml:space="preserve">I. </w:t>
      </w:r>
      <w:proofErr w:type="gramStart"/>
      <w:r>
        <w:rPr>
          <w:b/>
        </w:rPr>
        <w:t>Decizii  de</w:t>
      </w:r>
      <w:proofErr w:type="gramEnd"/>
      <w:r>
        <w:rPr>
          <w:b/>
        </w:rPr>
        <w:t xml:space="preserve"> speță pronunțate de Secția penală:</w:t>
      </w:r>
    </w:p>
    <w:bookmarkEnd w:id="0"/>
    <w:p w14:paraId="00B4C0F7" w14:textId="77777777" w:rsidR="00E451AE" w:rsidRDefault="00E451AE">
      <w:pPr>
        <w:tabs>
          <w:tab w:val="left" w:pos="0"/>
          <w:tab w:val="left" w:pos="720"/>
          <w:tab w:val="left" w:pos="1728"/>
          <w:tab w:val="left" w:pos="3456"/>
          <w:tab w:val="left" w:pos="5184"/>
        </w:tabs>
        <w:ind w:left="0" w:hanging="2"/>
        <w:jc w:val="both"/>
      </w:pPr>
    </w:p>
    <w:p w14:paraId="315B65E6" w14:textId="77777777" w:rsidR="00E451AE" w:rsidRDefault="00E451AE">
      <w:pPr>
        <w:tabs>
          <w:tab w:val="left" w:pos="0"/>
          <w:tab w:val="left" w:pos="720"/>
          <w:tab w:val="left" w:pos="1728"/>
          <w:tab w:val="left" w:pos="3456"/>
          <w:tab w:val="left" w:pos="5184"/>
        </w:tabs>
        <w:ind w:left="0" w:hanging="2"/>
        <w:jc w:val="both"/>
      </w:pPr>
    </w:p>
    <w:p w14:paraId="1A60FBCE" w14:textId="77777777" w:rsidR="00E451AE" w:rsidRDefault="00E451AE">
      <w:pPr>
        <w:tabs>
          <w:tab w:val="left" w:pos="0"/>
          <w:tab w:val="left" w:pos="720"/>
          <w:tab w:val="left" w:pos="1728"/>
          <w:tab w:val="left" w:pos="3456"/>
          <w:tab w:val="left" w:pos="5184"/>
        </w:tabs>
        <w:ind w:left="0" w:hanging="2"/>
        <w:jc w:val="both"/>
      </w:pPr>
    </w:p>
    <w:p w14:paraId="15A8C540" w14:textId="77777777" w:rsidR="00E451AE" w:rsidRDefault="00A03152">
      <w:pPr>
        <w:numPr>
          <w:ilvl w:val="3"/>
          <w:numId w:val="3"/>
        </w:numPr>
        <w:tabs>
          <w:tab w:val="left" w:pos="0"/>
          <w:tab w:val="left" w:pos="720"/>
          <w:tab w:val="left" w:pos="1728"/>
          <w:tab w:val="left" w:pos="3456"/>
          <w:tab w:val="left" w:pos="5184"/>
        </w:tabs>
        <w:ind w:left="0" w:hanging="2"/>
        <w:jc w:val="both"/>
      </w:pPr>
      <w:r>
        <w:t xml:space="preserve">Decizia ÎCCJ, Secția Penală, nr. 346/A din 20 decembrie 2018, disponibilă pe pagina de internet a ÎCCJ, Decizii rezumate, la </w:t>
      </w:r>
      <w:hyperlink r:id="rId8">
        <w:r>
          <w:rPr>
            <w:u w:val="single"/>
          </w:rPr>
          <w:t>http://www.scj.ro/1093/Detalii-jurisprudenta?customQuery%5B0%5D.Key=id&amp;customQuery%5B0%5D.Value=150123</w:t>
        </w:r>
      </w:hyperlink>
      <w:r>
        <w:t>;</w:t>
      </w:r>
    </w:p>
    <w:p w14:paraId="06A3D4F3" w14:textId="77777777" w:rsidR="00E451AE" w:rsidRDefault="00A03152">
      <w:pPr>
        <w:numPr>
          <w:ilvl w:val="3"/>
          <w:numId w:val="3"/>
        </w:numPr>
        <w:tabs>
          <w:tab w:val="left" w:pos="0"/>
          <w:tab w:val="left" w:pos="720"/>
          <w:tab w:val="left" w:pos="1728"/>
          <w:tab w:val="left" w:pos="3456"/>
          <w:tab w:val="left" w:pos="5184"/>
        </w:tabs>
        <w:ind w:left="0" w:hanging="2"/>
        <w:jc w:val="both"/>
      </w:pPr>
      <w:r>
        <w:t xml:space="preserve">Decizia nr. 123/A din 22 mai 2020, disponibilă pe pagina de internet a ÎCCJ, Decizii rezumate, la </w:t>
      </w:r>
      <w:hyperlink r:id="rId9">
        <w:r>
          <w:rPr>
            <w:u w:val="single"/>
          </w:rPr>
          <w:t>http://www.scj.ro/1093/Detalii-jurisprudenta?customQuery%5B0%5D.Key=id&amp;customQuery%5B0%5D.Value=169563</w:t>
        </w:r>
      </w:hyperlink>
      <w:r>
        <w:t>;</w:t>
      </w:r>
    </w:p>
    <w:p w14:paraId="562D1BF2" w14:textId="77777777" w:rsidR="00E451AE" w:rsidRDefault="00A03152">
      <w:pPr>
        <w:numPr>
          <w:ilvl w:val="3"/>
          <w:numId w:val="3"/>
        </w:numPr>
        <w:tabs>
          <w:tab w:val="left" w:pos="0"/>
          <w:tab w:val="left" w:pos="720"/>
          <w:tab w:val="left" w:pos="1728"/>
          <w:tab w:val="left" w:pos="3456"/>
          <w:tab w:val="left" w:pos="5184"/>
        </w:tabs>
        <w:ind w:left="0" w:hanging="2"/>
        <w:jc w:val="both"/>
      </w:pPr>
      <w:r>
        <w:t xml:space="preserve">Decizia nr. 237/RC din 21 iulie 2020, disponibilă pe pagina de internet a ÎCCJ, Decizii rezumate, la </w:t>
      </w:r>
      <w:hyperlink r:id="rId10">
        <w:r>
          <w:rPr>
            <w:u w:val="single"/>
          </w:rPr>
          <w:t>http://www.scj.ro/1093/Detalii-jurisprudenta?customQuery%5B0%5D.Key=id&amp;customQuery%5B0%5D.Value=171882</w:t>
        </w:r>
      </w:hyperlink>
      <w:r>
        <w:t>;</w:t>
      </w:r>
    </w:p>
    <w:p w14:paraId="1B95F4CF" w14:textId="77777777" w:rsidR="00E451AE" w:rsidRDefault="00A03152">
      <w:pPr>
        <w:numPr>
          <w:ilvl w:val="3"/>
          <w:numId w:val="3"/>
        </w:numPr>
        <w:tabs>
          <w:tab w:val="left" w:pos="0"/>
          <w:tab w:val="left" w:pos="720"/>
          <w:tab w:val="left" w:pos="1728"/>
          <w:tab w:val="left" w:pos="3456"/>
          <w:tab w:val="left" w:pos="5184"/>
        </w:tabs>
        <w:ind w:left="0" w:hanging="2"/>
        <w:jc w:val="both"/>
      </w:pPr>
      <w:r>
        <w:t xml:space="preserve">Decizia nr. 365/RC din 16 octombrie 2020, disponibilă pe pagina de internet a ÎCCJ, Decizii rezumate, la </w:t>
      </w:r>
      <w:hyperlink r:id="rId11">
        <w:r>
          <w:rPr>
            <w:u w:val="single"/>
          </w:rPr>
          <w:t>http://www.scj.ro/1093/Detalii-jurisprudenta?customQuery%5B0%5D.Key=id&amp;customQuery%5B0%5D.Value=171883</w:t>
        </w:r>
      </w:hyperlink>
      <w:r>
        <w:rPr>
          <w:b/>
        </w:rPr>
        <w:t>;</w:t>
      </w:r>
    </w:p>
    <w:p w14:paraId="62DD7BEB" w14:textId="77777777" w:rsidR="00E451AE" w:rsidRDefault="00A03152">
      <w:pPr>
        <w:numPr>
          <w:ilvl w:val="3"/>
          <w:numId w:val="3"/>
        </w:numPr>
        <w:tabs>
          <w:tab w:val="left" w:pos="0"/>
          <w:tab w:val="left" w:pos="720"/>
          <w:tab w:val="left" w:pos="1728"/>
          <w:tab w:val="left" w:pos="3456"/>
          <w:tab w:val="left" w:pos="5184"/>
        </w:tabs>
        <w:ind w:left="0" w:hanging="2"/>
        <w:jc w:val="both"/>
      </w:pPr>
      <w:r>
        <w:t xml:space="preserve">Decizia nr. 748 din 13 noiembrie 2020, disponibilă pe pagina de internet a ÎCCJ, Decizii rezumate, la </w:t>
      </w:r>
      <w:hyperlink r:id="rId12">
        <w:r>
          <w:rPr>
            <w:u w:val="single"/>
          </w:rPr>
          <w:t>http://www.scj.ro/1093/Detalii-jurisprudenta?customQuery%5B0%5D.Key=id&amp;customQuery%5B0%5D.Value=171954</w:t>
        </w:r>
      </w:hyperlink>
      <w:r>
        <w:t>;</w:t>
      </w:r>
    </w:p>
    <w:p w14:paraId="65E7D497" w14:textId="77777777" w:rsidR="00E451AE" w:rsidRDefault="00A03152">
      <w:pPr>
        <w:numPr>
          <w:ilvl w:val="3"/>
          <w:numId w:val="3"/>
        </w:numPr>
        <w:tabs>
          <w:tab w:val="left" w:pos="0"/>
          <w:tab w:val="left" w:pos="720"/>
          <w:tab w:val="left" w:pos="1728"/>
          <w:tab w:val="left" w:pos="3456"/>
          <w:tab w:val="left" w:pos="5184"/>
        </w:tabs>
        <w:ind w:left="0" w:hanging="2"/>
        <w:jc w:val="both"/>
      </w:pPr>
      <w:r>
        <w:t xml:space="preserve">Decizia nr. 476/RC din 11 decembrie 2020, disponibilă pe pagina de internet a ÎCCJ, Decizii rezumate, la </w:t>
      </w:r>
      <w:hyperlink r:id="rId13">
        <w:r>
          <w:rPr>
            <w:u w:val="single"/>
          </w:rPr>
          <w:t>http://www.scj.ro/1093/Detalii-jurisprudenta?customQuery%5B0%5D.Key=id&amp;customQuery%5B0%5D.Value=172396</w:t>
        </w:r>
      </w:hyperlink>
      <w:r>
        <w:t>;</w:t>
      </w:r>
    </w:p>
    <w:p w14:paraId="09D3861E" w14:textId="4317EEE3" w:rsidR="00E451AE" w:rsidRDefault="00A03152">
      <w:pPr>
        <w:numPr>
          <w:ilvl w:val="3"/>
          <w:numId w:val="3"/>
        </w:numPr>
        <w:tabs>
          <w:tab w:val="left" w:pos="0"/>
          <w:tab w:val="left" w:pos="720"/>
          <w:tab w:val="left" w:pos="1728"/>
          <w:tab w:val="left" w:pos="3456"/>
          <w:tab w:val="left" w:pos="5184"/>
        </w:tabs>
        <w:ind w:left="0" w:hanging="2"/>
        <w:jc w:val="both"/>
      </w:pPr>
      <w:bookmarkStart w:id="2" w:name="_heading=h.30j0zll" w:colFirst="0" w:colLast="0"/>
      <w:bookmarkEnd w:id="2"/>
      <w:r>
        <w:t xml:space="preserve">Decizia nr. 40/RC din 29 ianuarie 2021, disponibilă pe pagina de internet a ÎCCJ, Decizii rezumate, la </w:t>
      </w:r>
      <w:hyperlink r:id="rId14">
        <w:r>
          <w:rPr>
            <w:u w:val="single"/>
          </w:rPr>
          <w:t>http://www.scj.ro/1093/Detalii-jurisprudenta?customQuery%5B0%5D.Key=id&amp;customQuery%5B0%5D.Value=172401</w:t>
        </w:r>
      </w:hyperlink>
      <w:r w:rsidR="005E0A85">
        <w:t>;</w:t>
      </w:r>
    </w:p>
    <w:p w14:paraId="12CCD789" w14:textId="175938CF" w:rsidR="00E451AE" w:rsidRPr="00437716" w:rsidRDefault="00A03152">
      <w:pPr>
        <w:numPr>
          <w:ilvl w:val="3"/>
          <w:numId w:val="3"/>
        </w:numPr>
        <w:tabs>
          <w:tab w:val="left" w:pos="0"/>
          <w:tab w:val="left" w:pos="720"/>
          <w:tab w:val="left" w:pos="1728"/>
          <w:tab w:val="left" w:pos="3456"/>
          <w:tab w:val="left" w:pos="5184"/>
        </w:tabs>
        <w:ind w:left="0" w:hanging="2"/>
        <w:jc w:val="both"/>
      </w:pPr>
      <w:bookmarkStart w:id="3" w:name="_heading=h.b4grvhkj3pll" w:colFirst="0" w:colLast="0"/>
      <w:bookmarkEnd w:id="3"/>
      <w:r w:rsidRPr="00437716">
        <w:t xml:space="preserve">Decizia nr. 261/RC din 15 iunie 2021 disponibilă pe pagina de internet a ÎCCJ, Decizii rezumate, la </w:t>
      </w:r>
      <w:hyperlink r:id="rId15" w:anchor="highlight=">
        <w:r w:rsidRPr="00437716">
          <w:rPr>
            <w:u w:val="single"/>
          </w:rPr>
          <w:t>https://www.scj.ro/1093/Detalii-jurisprudenta?customQuery%5B0%5D.Key=id&amp;customQuery%5B0%5D.Value=178533#highlight=##</w:t>
        </w:r>
      </w:hyperlink>
      <w:r w:rsidR="005E0A85" w:rsidRPr="00437716">
        <w:rPr>
          <w:u w:val="single"/>
        </w:rPr>
        <w:t>;</w:t>
      </w:r>
    </w:p>
    <w:p w14:paraId="577563CE" w14:textId="77777777" w:rsidR="00E451AE" w:rsidRPr="00437716" w:rsidRDefault="00A03152">
      <w:pPr>
        <w:numPr>
          <w:ilvl w:val="3"/>
          <w:numId w:val="3"/>
        </w:numPr>
        <w:tabs>
          <w:tab w:val="left" w:pos="0"/>
          <w:tab w:val="left" w:pos="720"/>
          <w:tab w:val="left" w:pos="1728"/>
          <w:tab w:val="left" w:pos="3456"/>
          <w:tab w:val="left" w:pos="5184"/>
        </w:tabs>
        <w:ind w:left="0" w:hanging="2"/>
        <w:jc w:val="both"/>
      </w:pPr>
      <w:bookmarkStart w:id="4" w:name="_heading=h.931axptn2aj9" w:colFirst="0" w:colLast="0"/>
      <w:bookmarkEnd w:id="4"/>
      <w:r w:rsidRPr="00437716">
        <w:t xml:space="preserve">Decizia nr. 767 din 21 septembrie 2021 disponibilă pe pagina de internet a ÎCCJ, Decizii rezumate, la </w:t>
      </w:r>
      <w:hyperlink r:id="rId16" w:anchor="highlight=">
        <w:r w:rsidRPr="00437716">
          <w:rPr>
            <w:u w:val="single"/>
          </w:rPr>
          <w:t>https://www.scj.ro/1093/Detalii-jurisprudenta?customQuery%5B0%5D.Key=id&amp;customQuery%5B0%5D.Value=187027#highlight=##</w:t>
        </w:r>
      </w:hyperlink>
    </w:p>
    <w:p w14:paraId="4D82C926" w14:textId="54E50F8D" w:rsidR="00E451AE" w:rsidRPr="00437716" w:rsidRDefault="00A03152">
      <w:pPr>
        <w:numPr>
          <w:ilvl w:val="3"/>
          <w:numId w:val="3"/>
        </w:numPr>
        <w:tabs>
          <w:tab w:val="left" w:pos="0"/>
          <w:tab w:val="left" w:pos="720"/>
          <w:tab w:val="left" w:pos="1728"/>
          <w:tab w:val="left" w:pos="3456"/>
          <w:tab w:val="left" w:pos="5184"/>
        </w:tabs>
        <w:ind w:left="0" w:hanging="2"/>
        <w:jc w:val="both"/>
      </w:pPr>
      <w:bookmarkStart w:id="5" w:name="_heading=h.3j4cre833mea" w:colFirst="0" w:colLast="0"/>
      <w:bookmarkEnd w:id="5"/>
      <w:r w:rsidRPr="00437716">
        <w:t>Decizia nr. 535/RC din 23 noiembrie 2021 disponibilă pe pagina de internet a ÎCCJ, Decizii rezumate, la https://www.scj.ro/1093/Detalii-jurisprudenta?customQuery%5B0%5D.Key=id&amp;customQuery%5B0%5D.Value=185433#highlight=##</w:t>
      </w:r>
      <w:r w:rsidR="005E0A85" w:rsidRPr="00437716">
        <w:t>.</w:t>
      </w:r>
    </w:p>
    <w:p w14:paraId="2D6BA58D" w14:textId="77777777" w:rsidR="00E451AE" w:rsidRPr="00437716" w:rsidRDefault="00A03152">
      <w:pPr>
        <w:tabs>
          <w:tab w:val="left" w:pos="0"/>
          <w:tab w:val="left" w:pos="720"/>
          <w:tab w:val="left" w:pos="1728"/>
          <w:tab w:val="left" w:pos="3456"/>
          <w:tab w:val="left" w:pos="5184"/>
        </w:tabs>
        <w:spacing w:line="360" w:lineRule="auto"/>
        <w:ind w:left="0" w:hanging="2"/>
        <w:jc w:val="both"/>
      </w:pPr>
      <w:r w:rsidRPr="00437716">
        <w:rPr>
          <w:b/>
          <w:i/>
        </w:rPr>
        <w:t xml:space="preserve">   </w:t>
      </w:r>
    </w:p>
    <w:p w14:paraId="15BAD789" w14:textId="77777777" w:rsidR="00E451AE" w:rsidRPr="00437716" w:rsidRDefault="00A03152">
      <w:pPr>
        <w:ind w:left="0" w:hanging="2"/>
        <w:jc w:val="both"/>
      </w:pPr>
      <w:bookmarkStart w:id="6" w:name="_Hlk105147315"/>
      <w:r w:rsidRPr="00437716">
        <w:rPr>
          <w:b/>
        </w:rPr>
        <w:t>II. Decizii pronunțate de completul pentru dezlegarea unor chestiuni de drept în materie penală:</w:t>
      </w:r>
    </w:p>
    <w:bookmarkEnd w:id="6"/>
    <w:p w14:paraId="3BEB56EC" w14:textId="77777777" w:rsidR="00E451AE" w:rsidRDefault="00E451AE">
      <w:pPr>
        <w:ind w:left="0" w:hanging="2"/>
        <w:jc w:val="both"/>
      </w:pPr>
    </w:p>
    <w:p w14:paraId="4E725F65" w14:textId="3A36E314" w:rsidR="00E451AE" w:rsidRDefault="00A03152">
      <w:pPr>
        <w:numPr>
          <w:ilvl w:val="0"/>
          <w:numId w:val="5"/>
        </w:numPr>
        <w:tabs>
          <w:tab w:val="left" w:pos="0"/>
          <w:tab w:val="left" w:pos="720"/>
          <w:tab w:val="left" w:pos="1728"/>
          <w:tab w:val="left" w:pos="3456"/>
          <w:tab w:val="left" w:pos="5184"/>
        </w:tabs>
        <w:ind w:left="0" w:hanging="2"/>
        <w:jc w:val="both"/>
      </w:pPr>
      <w:r>
        <w:t>Decizia nr. 2/26.01.2016, Completul pentru dezlegarea unor chestiuni de drept în materie penală prin care se stabileşte că, în ipoteza infracţiunilor concurente săvârşite în timpul minorităţii, judecate separat, durata măsurii educative neprivative de libertate, dispusă pentru o infracţiune concurentă şi executată, nu se scade din durata măsurii educative neprivative sau privative de libertate, dar va fi avută în vedere la alegerea şi stabilirea sancţiunii conform art. 129 alin. (1) din Codul penal, publicată în Monitorul Oficial nr. 192/15.03.2016;</w:t>
      </w:r>
    </w:p>
    <w:p w14:paraId="14C2805C" w14:textId="77777777" w:rsidR="00E451AE" w:rsidRDefault="00A03152">
      <w:pPr>
        <w:numPr>
          <w:ilvl w:val="0"/>
          <w:numId w:val="5"/>
        </w:numPr>
        <w:tabs>
          <w:tab w:val="left" w:pos="0"/>
          <w:tab w:val="left" w:pos="720"/>
          <w:tab w:val="left" w:pos="1728"/>
          <w:tab w:val="left" w:pos="3456"/>
          <w:tab w:val="left" w:pos="5184"/>
        </w:tabs>
        <w:ind w:left="0" w:hanging="2"/>
        <w:jc w:val="both"/>
      </w:pPr>
      <w:r>
        <w:t>Decizia nr. 15/25.04.2017, Completul pentru dezlegarea unor chestiuni de drept în materie penală, privind interpretarea dispoziţiilor art. 2 şi art. 3 din Legea nr. 143/2000 privind prevenirea şi combaterea traficului şi consumului ilicit de droguri, republicată, cu modificările şi completările ulterioare, publicată în Monitorul Oficial nr. 369 din 18.05.2017;</w:t>
      </w:r>
    </w:p>
    <w:p w14:paraId="04C2F4A9" w14:textId="77777777" w:rsidR="00E451AE" w:rsidRDefault="00A03152">
      <w:pPr>
        <w:numPr>
          <w:ilvl w:val="0"/>
          <w:numId w:val="5"/>
        </w:numPr>
        <w:tabs>
          <w:tab w:val="left" w:pos="0"/>
          <w:tab w:val="left" w:pos="720"/>
          <w:tab w:val="left" w:pos="1728"/>
          <w:tab w:val="left" w:pos="3456"/>
          <w:tab w:val="left" w:pos="5184"/>
        </w:tabs>
        <w:ind w:left="0" w:hanging="2"/>
        <w:jc w:val="both"/>
      </w:pPr>
      <w:r>
        <w:lastRenderedPageBreak/>
        <w:t>Decizia nr. 10/17.04.2019, Completul pentru dezlegarea unor chestiuni de drept în materie penală, privind interpretarea dispoziţiilor art. 273 din Codul penal, publicată în Monitorul Oficial nr.416 din 28.05.2019;</w:t>
      </w:r>
    </w:p>
    <w:p w14:paraId="4630A374" w14:textId="77777777" w:rsidR="00E451AE" w:rsidRDefault="00A03152">
      <w:pPr>
        <w:numPr>
          <w:ilvl w:val="0"/>
          <w:numId w:val="5"/>
        </w:numPr>
        <w:tabs>
          <w:tab w:val="left" w:pos="0"/>
          <w:tab w:val="left" w:pos="720"/>
          <w:tab w:val="left" w:pos="1728"/>
          <w:tab w:val="left" w:pos="3456"/>
          <w:tab w:val="left" w:pos="5184"/>
        </w:tabs>
        <w:ind w:left="0" w:hanging="2"/>
        <w:jc w:val="both"/>
      </w:pPr>
      <w:r>
        <w:t>Decizia nr. 13 din 7 mai 2020, Completul pentru dezlegarea unor chestiuni de drept în materie penală, privind dispoziţiile art. 175 alin. (2) din Codul penal, publicată</w:t>
      </w:r>
      <w:r>
        <w:rPr>
          <w:rFonts w:ascii="Verdana" w:eastAsia="Verdana" w:hAnsi="Verdana" w:cs="Verdana"/>
          <w:sz w:val="18"/>
          <w:szCs w:val="18"/>
        </w:rPr>
        <w:t xml:space="preserve"> in Monitorul Oficial, Partea I nr. 721 din 11/08/2020</w:t>
      </w:r>
    </w:p>
    <w:p w14:paraId="52FB6B7C" w14:textId="77777777" w:rsidR="00E451AE" w:rsidRDefault="00A03152">
      <w:pPr>
        <w:numPr>
          <w:ilvl w:val="0"/>
          <w:numId w:val="5"/>
        </w:numPr>
        <w:tabs>
          <w:tab w:val="left" w:pos="0"/>
          <w:tab w:val="left" w:pos="720"/>
          <w:tab w:val="left" w:pos="1728"/>
          <w:tab w:val="left" w:pos="3456"/>
          <w:tab w:val="left" w:pos="5184"/>
        </w:tabs>
        <w:ind w:left="0" w:hanging="2"/>
        <w:jc w:val="both"/>
      </w:pPr>
      <w:r>
        <w:t>Decizia nr. 14 din 25 mai 2020, Completul pentru dezlegarea unor chestiuni de drept în materie penală, privind dispoziţiile art. 335 alin. (3) din Codul penal, publicată in Monitorul Oficial, Partea I nr. 135 din 10/02/2021;</w:t>
      </w:r>
    </w:p>
    <w:p w14:paraId="125765CB" w14:textId="77777777" w:rsidR="00E451AE" w:rsidRDefault="00A03152">
      <w:pPr>
        <w:numPr>
          <w:ilvl w:val="0"/>
          <w:numId w:val="5"/>
        </w:numPr>
        <w:tabs>
          <w:tab w:val="left" w:pos="0"/>
          <w:tab w:val="left" w:pos="720"/>
          <w:tab w:val="left" w:pos="1728"/>
          <w:tab w:val="left" w:pos="3456"/>
          <w:tab w:val="left" w:pos="5184"/>
        </w:tabs>
        <w:ind w:left="0" w:hanging="2"/>
        <w:jc w:val="both"/>
      </w:pPr>
      <w:r>
        <w:t>Decizia nr. 22 din 9 iulie 2020, Completul pentru dezlegarea unor chestiuni de drept în materie penală, privind aplicarea regulilor concursului de infracţiuni şi ale recidivei postcondamnatorii, publicată in Monitorul Oficial, Partea I nr. 907 din 06/10/2020;</w:t>
      </w:r>
    </w:p>
    <w:p w14:paraId="3DE8C5E2" w14:textId="77777777" w:rsidR="00E451AE" w:rsidRPr="00437716" w:rsidRDefault="00A03152">
      <w:pPr>
        <w:numPr>
          <w:ilvl w:val="0"/>
          <w:numId w:val="5"/>
        </w:numPr>
        <w:tabs>
          <w:tab w:val="left" w:pos="0"/>
          <w:tab w:val="left" w:pos="720"/>
          <w:tab w:val="left" w:pos="1728"/>
          <w:tab w:val="left" w:pos="3456"/>
          <w:tab w:val="left" w:pos="5184"/>
        </w:tabs>
        <w:ind w:left="0" w:hanging="2"/>
        <w:jc w:val="both"/>
      </w:pPr>
      <w:r w:rsidRPr="00437716">
        <w:t>Decizia nr. 37 din 7 iunie 2021 privind dispoziţiile art. 244 din Codul penal, publicată in Monitorul Oficial, Partea I nr. 707 din 16/07/2021;</w:t>
      </w:r>
    </w:p>
    <w:p w14:paraId="25FC3E3A" w14:textId="77777777" w:rsidR="00E451AE" w:rsidRPr="00437716" w:rsidRDefault="00A03152">
      <w:pPr>
        <w:numPr>
          <w:ilvl w:val="0"/>
          <w:numId w:val="5"/>
        </w:numPr>
        <w:tabs>
          <w:tab w:val="left" w:pos="0"/>
          <w:tab w:val="left" w:pos="720"/>
          <w:tab w:val="left" w:pos="1728"/>
          <w:tab w:val="left" w:pos="3456"/>
          <w:tab w:val="left" w:pos="5184"/>
        </w:tabs>
        <w:ind w:left="0" w:hanging="2"/>
        <w:jc w:val="both"/>
      </w:pPr>
      <w:r w:rsidRPr="00437716">
        <w:t>Decizia nr. 66 din 29 septembrie 2021 privind dispoziţiile art. 10 alin. (1) indice 1 din Legea nr. 241/2005 pentru prevenirea și combaterea evaziunii fiscale, publicată in Monitorul Oficial, Partea I nr. 87 din 28/01/2022;</w:t>
      </w:r>
    </w:p>
    <w:p w14:paraId="58EC09B7" w14:textId="77777777" w:rsidR="00E451AE" w:rsidRPr="00437716" w:rsidRDefault="00A03152">
      <w:pPr>
        <w:numPr>
          <w:ilvl w:val="0"/>
          <w:numId w:val="5"/>
        </w:numPr>
        <w:tabs>
          <w:tab w:val="left" w:pos="0"/>
          <w:tab w:val="left" w:pos="720"/>
          <w:tab w:val="left" w:pos="1728"/>
          <w:tab w:val="left" w:pos="3456"/>
          <w:tab w:val="left" w:pos="5184"/>
        </w:tabs>
        <w:ind w:left="0" w:hanging="2"/>
        <w:jc w:val="both"/>
      </w:pPr>
      <w:r w:rsidRPr="00437716">
        <w:t>Decizia nr. 79 din 18 noiembrie 2021 privind aplicarea beneficiului dispoziţiilor art. 19 din Legea nr. 682/2002 faţă de inculpatul care are calitatea de denunţător într-o cauză penală, publicată in Monitorul Oficial, Partea I nr. 96 din 31/01/2022;</w:t>
      </w:r>
    </w:p>
    <w:p w14:paraId="723D98BB" w14:textId="77777777" w:rsidR="00E451AE" w:rsidRPr="00437716" w:rsidRDefault="00A03152">
      <w:pPr>
        <w:numPr>
          <w:ilvl w:val="0"/>
          <w:numId w:val="5"/>
        </w:numPr>
        <w:tabs>
          <w:tab w:val="left" w:pos="0"/>
          <w:tab w:val="left" w:pos="720"/>
          <w:tab w:val="left" w:pos="1728"/>
          <w:tab w:val="left" w:pos="3456"/>
          <w:tab w:val="left" w:pos="5184"/>
        </w:tabs>
        <w:ind w:left="0" w:hanging="2"/>
        <w:jc w:val="both"/>
      </w:pPr>
      <w:r w:rsidRPr="00437716">
        <w:t>Decizia nr. 4 din 27 ianuarie 2022 privind dispozițiile art. 228 alin. (1) – art. 229 alin. (1) lit. c) din Codul penal, publicată în Monitorul Oficial, Partea I nr. 335 din 05 aprilie 2022.</w:t>
      </w:r>
    </w:p>
    <w:p w14:paraId="40192350" w14:textId="77777777" w:rsidR="00E451AE" w:rsidRDefault="00E451AE">
      <w:pPr>
        <w:tabs>
          <w:tab w:val="left" w:pos="0"/>
          <w:tab w:val="left" w:pos="720"/>
          <w:tab w:val="left" w:pos="1728"/>
          <w:tab w:val="left" w:pos="3456"/>
          <w:tab w:val="left" w:pos="5184"/>
        </w:tabs>
        <w:ind w:left="0" w:hanging="2"/>
        <w:jc w:val="both"/>
      </w:pPr>
    </w:p>
    <w:p w14:paraId="1F6C84C3" w14:textId="77777777" w:rsidR="00E451AE" w:rsidRDefault="00E451AE">
      <w:pPr>
        <w:tabs>
          <w:tab w:val="left" w:pos="0"/>
          <w:tab w:val="left" w:pos="720"/>
          <w:tab w:val="left" w:pos="1728"/>
          <w:tab w:val="left" w:pos="3456"/>
          <w:tab w:val="left" w:pos="5184"/>
        </w:tabs>
        <w:ind w:left="0" w:hanging="2"/>
        <w:jc w:val="both"/>
      </w:pPr>
    </w:p>
    <w:p w14:paraId="212DF85F" w14:textId="77777777" w:rsidR="00E451AE" w:rsidRDefault="00E451AE">
      <w:pPr>
        <w:tabs>
          <w:tab w:val="left" w:pos="0"/>
          <w:tab w:val="left" w:pos="720"/>
          <w:tab w:val="left" w:pos="1728"/>
          <w:tab w:val="left" w:pos="3456"/>
          <w:tab w:val="left" w:pos="5184"/>
        </w:tabs>
        <w:ind w:left="0" w:hanging="2"/>
        <w:jc w:val="both"/>
      </w:pPr>
    </w:p>
    <w:p w14:paraId="7B9E0B95" w14:textId="77777777" w:rsidR="00E451AE" w:rsidRDefault="00A03152">
      <w:pPr>
        <w:numPr>
          <w:ilvl w:val="0"/>
          <w:numId w:val="9"/>
        </w:numPr>
        <w:ind w:left="0" w:hanging="2"/>
        <w:jc w:val="both"/>
      </w:pPr>
      <w:bookmarkStart w:id="7" w:name="_Hlk105147328"/>
      <w:r>
        <w:rPr>
          <w:b/>
        </w:rPr>
        <w:t>Decizii pronunțate de completul pentru soluționarea recursurilor în interesul legii:</w:t>
      </w:r>
    </w:p>
    <w:bookmarkEnd w:id="7"/>
    <w:p w14:paraId="792F405F" w14:textId="77777777" w:rsidR="00E451AE" w:rsidRDefault="00E451AE">
      <w:pPr>
        <w:ind w:left="0" w:hanging="2"/>
        <w:jc w:val="both"/>
      </w:pPr>
    </w:p>
    <w:p w14:paraId="24C5766C" w14:textId="77777777" w:rsidR="00E451AE" w:rsidRDefault="00E451AE">
      <w:pPr>
        <w:tabs>
          <w:tab w:val="left" w:pos="0"/>
          <w:tab w:val="left" w:pos="720"/>
          <w:tab w:val="left" w:pos="1728"/>
          <w:tab w:val="left" w:pos="3456"/>
          <w:tab w:val="left" w:pos="5184"/>
        </w:tabs>
        <w:ind w:left="0" w:hanging="2"/>
        <w:jc w:val="both"/>
      </w:pPr>
    </w:p>
    <w:p w14:paraId="465CD517" w14:textId="77777777" w:rsidR="00E451AE" w:rsidRDefault="00E451AE">
      <w:pPr>
        <w:tabs>
          <w:tab w:val="left" w:pos="0"/>
          <w:tab w:val="left" w:pos="720"/>
          <w:tab w:val="left" w:pos="1728"/>
          <w:tab w:val="left" w:pos="3456"/>
          <w:tab w:val="left" w:pos="5184"/>
        </w:tabs>
        <w:ind w:left="0" w:hanging="2"/>
        <w:jc w:val="both"/>
      </w:pPr>
    </w:p>
    <w:p w14:paraId="7267B49C" w14:textId="77777777" w:rsidR="00E451AE" w:rsidRDefault="00A03152">
      <w:pPr>
        <w:numPr>
          <w:ilvl w:val="0"/>
          <w:numId w:val="6"/>
        </w:numPr>
        <w:tabs>
          <w:tab w:val="left" w:pos="0"/>
          <w:tab w:val="left" w:pos="720"/>
          <w:tab w:val="left" w:pos="1728"/>
          <w:tab w:val="left" w:pos="3456"/>
          <w:tab w:val="left" w:pos="5184"/>
        </w:tabs>
        <w:ind w:left="0" w:hanging="2"/>
        <w:jc w:val="both"/>
      </w:pPr>
      <w:r>
        <w:t>Decizia nr. 4 din 4.04.2016, Completul pentru soluționarea recursurilor în interesul legii, privind interpretarea şi aplicarea unitară a dispoziţiilor art. 181 alin. (1) din Legea nr.78/2000 privind prevenirea, descoperirea şi sancţionarea faptelor de corupţie şi art. 215 alin. (1), (2) şi (3) din Codul penal de la 1969, respectiv art. 244 alin. (1) şi (2) şi art. 306 din Codul penal, publicată in Monitorul Oficial, Partea I nr. 418 din 02.06.2016;</w:t>
      </w:r>
    </w:p>
    <w:p w14:paraId="0F88BC09" w14:textId="77777777" w:rsidR="00E451AE" w:rsidRDefault="00A03152">
      <w:pPr>
        <w:numPr>
          <w:ilvl w:val="0"/>
          <w:numId w:val="6"/>
        </w:numPr>
        <w:tabs>
          <w:tab w:val="left" w:pos="0"/>
          <w:tab w:val="left" w:pos="720"/>
          <w:tab w:val="left" w:pos="1728"/>
          <w:tab w:val="left" w:pos="3456"/>
          <w:tab w:val="left" w:pos="5184"/>
        </w:tabs>
        <w:ind w:left="0" w:hanging="2"/>
        <w:jc w:val="both"/>
      </w:pPr>
      <w:r>
        <w:t>Decizia nr. 4/20.03.2017, Completul pentru soluționarea recursurilor în interesul legii, privind interpretarea şi aplicarea unitară a dispoziţiilor art.  378 alin 1 lit. c din Codul penal, publicată în Monitorul Oficial nr. 360 din 16.05.2017;</w:t>
      </w:r>
    </w:p>
    <w:p w14:paraId="0BA26663" w14:textId="77777777" w:rsidR="00E451AE" w:rsidRDefault="00A03152">
      <w:pPr>
        <w:numPr>
          <w:ilvl w:val="0"/>
          <w:numId w:val="6"/>
        </w:numPr>
        <w:tabs>
          <w:tab w:val="left" w:pos="0"/>
          <w:tab w:val="left" w:pos="720"/>
          <w:tab w:val="left" w:pos="1728"/>
          <w:tab w:val="left" w:pos="3456"/>
          <w:tab w:val="left" w:pos="5184"/>
        </w:tabs>
        <w:ind w:left="0" w:hanging="2"/>
        <w:jc w:val="both"/>
      </w:pPr>
      <w:r>
        <w:t>Decizia nr. 21/6.11.2017, Completul pentru soluționarea recursurilor în interesul legii, privind interpretarea şi aplicarea unitară a dispoziţiilor vizând încadrarea juridică a faptei de evidenţiere, în actele contabile sau în alte documente legale, a cheltuielilor care nu au la bază operaţiuni reale ori evidenţierea altor operaţiuni fictive, în ipoteza înregistrării unor facturi fiscale şi chitanţe de plată întocmite în fals în numele unor societăţi comerciale care nu recunosc tranzacţiile sau care au avut în perioada funcţionării comportamentul fiscal asemănător societăţilor comerciale „fantomă", în scopul sustragerii de la îndeplinirea obligaţiilor fiscale, publicată în Monitorul Oficial nr 1024 din 27.12.2017;</w:t>
      </w:r>
    </w:p>
    <w:p w14:paraId="703E9185" w14:textId="77777777" w:rsidR="00E451AE" w:rsidRDefault="00A03152">
      <w:pPr>
        <w:numPr>
          <w:ilvl w:val="0"/>
          <w:numId w:val="6"/>
        </w:numPr>
        <w:tabs>
          <w:tab w:val="left" w:pos="0"/>
          <w:tab w:val="left" w:pos="720"/>
          <w:tab w:val="left" w:pos="1728"/>
          <w:tab w:val="left" w:pos="3456"/>
          <w:tab w:val="left" w:pos="5184"/>
        </w:tabs>
        <w:ind w:left="0" w:hanging="2"/>
        <w:jc w:val="both"/>
      </w:pPr>
      <w:r>
        <w:t>Decizia nr. 1 din 14 ianuarie 2019</w:t>
      </w:r>
      <w:r>
        <w:rPr>
          <w:i/>
        </w:rPr>
        <w:t xml:space="preserve"> </w:t>
      </w:r>
      <w:r>
        <w:t>privind interpretarea şi aplicarea unitară a dispoziţiilor art. 273 alin. (1) din Codul penal, publicată în Monitorul Oficial, Partea I, Nr. 187 din 08 martie 2019;</w:t>
      </w:r>
    </w:p>
    <w:p w14:paraId="2B6185F1" w14:textId="77777777" w:rsidR="00E451AE" w:rsidRDefault="00A03152">
      <w:pPr>
        <w:numPr>
          <w:ilvl w:val="0"/>
          <w:numId w:val="6"/>
        </w:numPr>
        <w:tabs>
          <w:tab w:val="left" w:pos="0"/>
          <w:tab w:val="left" w:pos="720"/>
          <w:tab w:val="left" w:pos="1728"/>
          <w:tab w:val="left" w:pos="3456"/>
          <w:tab w:val="left" w:pos="5184"/>
        </w:tabs>
        <w:ind w:left="0" w:hanging="2"/>
        <w:jc w:val="both"/>
      </w:pPr>
      <w:r>
        <w:t xml:space="preserve">Decizia nr. 5/11.02.2019, Completul pentru soluționarea recursurilor în interesul legii, privind 2019 privind interpretarea şi aplicarea art. 174 cu referire la art. 154 alin. (2) </w:t>
      </w:r>
      <w:proofErr w:type="gramStart"/>
      <w:r>
        <w:t>teza</w:t>
      </w:r>
      <w:proofErr w:type="gramEnd"/>
      <w:r>
        <w:t xml:space="preserve"> I din Codul penal, publicată în Monitorul Oficial nr. 334 din 02.05.2019;</w:t>
      </w:r>
    </w:p>
    <w:p w14:paraId="575C344F" w14:textId="77777777" w:rsidR="00E451AE" w:rsidRDefault="00A03152">
      <w:pPr>
        <w:numPr>
          <w:ilvl w:val="0"/>
          <w:numId w:val="6"/>
        </w:numPr>
        <w:tabs>
          <w:tab w:val="left" w:pos="0"/>
          <w:tab w:val="left" w:pos="720"/>
          <w:tab w:val="left" w:pos="1728"/>
          <w:tab w:val="left" w:pos="3456"/>
          <w:tab w:val="left" w:pos="5184"/>
        </w:tabs>
        <w:ind w:left="0" w:hanging="2"/>
        <w:jc w:val="both"/>
      </w:pPr>
      <w:r>
        <w:t>Decizia nr. 11/08.04.2019, Completul pentru soluționarea recursurilor în interesul legii, privind 2019, privind art. 193 raportat la art. 199 alin. (1) din Codul penal, publicată în Monitorul Oficial nr. 477 din 12.06.2019;</w:t>
      </w:r>
    </w:p>
    <w:p w14:paraId="074F98AA" w14:textId="77777777" w:rsidR="00E451AE" w:rsidRDefault="00A03152">
      <w:pPr>
        <w:numPr>
          <w:ilvl w:val="0"/>
          <w:numId w:val="6"/>
        </w:numPr>
        <w:tabs>
          <w:tab w:val="left" w:pos="0"/>
          <w:tab w:val="left" w:pos="720"/>
          <w:tab w:val="left" w:pos="1728"/>
          <w:tab w:val="left" w:pos="3456"/>
          <w:tab w:val="left" w:pos="5184"/>
        </w:tabs>
        <w:ind w:left="0" w:hanging="2"/>
        <w:jc w:val="both"/>
      </w:pPr>
      <w:bookmarkStart w:id="8" w:name="_heading=h.tyjcwt" w:colFirst="0" w:colLast="0"/>
      <w:bookmarkEnd w:id="8"/>
      <w:r>
        <w:lastRenderedPageBreak/>
        <w:t>Decizia nr. 4 din 20 ianuarie 2020, Completul pentru soluționarea recursurilor în interesul legii, privind interpretarea şi aplicarea unitară a dispozițiilor art. 91 alin. (1) lit. a) şi alin. (3) din Codul penal,</w:t>
      </w:r>
      <w:r>
        <w:rPr>
          <w:i/>
        </w:rPr>
        <w:t xml:space="preserve"> </w:t>
      </w:r>
      <w:r>
        <w:t>publicată în Monitorul Oficial, Partea I, Nr. 211 din 16 martie 2020;</w:t>
      </w:r>
    </w:p>
    <w:p w14:paraId="13A05CB2" w14:textId="77777777" w:rsidR="00E451AE" w:rsidRDefault="00A03152">
      <w:pPr>
        <w:numPr>
          <w:ilvl w:val="0"/>
          <w:numId w:val="6"/>
        </w:numPr>
        <w:tabs>
          <w:tab w:val="left" w:pos="0"/>
          <w:tab w:val="left" w:pos="720"/>
          <w:tab w:val="left" w:pos="1728"/>
          <w:tab w:val="left" w:pos="3456"/>
          <w:tab w:val="left" w:pos="5184"/>
        </w:tabs>
        <w:ind w:left="0" w:hanging="2"/>
        <w:jc w:val="both"/>
      </w:pPr>
      <w:r>
        <w:t>Decizia nr. 6 din 17 februarie 2020, Completul pentru soluționarea recursurilor în interesul legii, privind dispoziţiile art. 228 alin. (1) raportat la art. 229 alin. (1) lit. e) din Codul penal;</w:t>
      </w:r>
    </w:p>
    <w:p w14:paraId="0A10CF37" w14:textId="77777777" w:rsidR="00E451AE" w:rsidRPr="00437716" w:rsidRDefault="00A03152">
      <w:pPr>
        <w:numPr>
          <w:ilvl w:val="0"/>
          <w:numId w:val="6"/>
        </w:numPr>
        <w:tabs>
          <w:tab w:val="left" w:pos="0"/>
          <w:tab w:val="left" w:pos="720"/>
          <w:tab w:val="left" w:pos="1728"/>
          <w:tab w:val="left" w:pos="3456"/>
          <w:tab w:val="left" w:pos="5184"/>
        </w:tabs>
        <w:ind w:left="0" w:hanging="2"/>
        <w:jc w:val="both"/>
      </w:pPr>
      <w:r>
        <w:t xml:space="preserve">Decizia nr. 7 din 17 februarie 2020, Completul pentru soluționarea recursurilor în interesul legii, privind interpretarea şi aplicarea unitară a dispozițiilor art. 44 alin. (2) din Codul penal, publicată în </w:t>
      </w:r>
      <w:r w:rsidRPr="00437716">
        <w:t>Monitorul Oficial, Partea I, Nr. 486 din 09 iunie 2020;</w:t>
      </w:r>
    </w:p>
    <w:p w14:paraId="41EA2D73" w14:textId="77777777" w:rsidR="00E451AE" w:rsidRPr="00437716" w:rsidRDefault="00A03152">
      <w:pPr>
        <w:numPr>
          <w:ilvl w:val="0"/>
          <w:numId w:val="6"/>
        </w:numPr>
        <w:tabs>
          <w:tab w:val="left" w:pos="0"/>
          <w:tab w:val="left" w:pos="720"/>
          <w:tab w:val="left" w:pos="1728"/>
          <w:tab w:val="left" w:pos="3456"/>
          <w:tab w:val="left" w:pos="5184"/>
        </w:tabs>
        <w:ind w:left="0" w:hanging="2"/>
        <w:jc w:val="both"/>
      </w:pPr>
      <w:r w:rsidRPr="00437716">
        <w:t>Decizia nr. 11 din 28 iunie 2021 privind dispoziţiile art. 37 din Codul penal, publicată in Monitorul Oficial, Partea I nr. 909 din 22/09/2021.</w:t>
      </w:r>
    </w:p>
    <w:p w14:paraId="4FDE5EA8" w14:textId="77777777" w:rsidR="00E451AE" w:rsidRDefault="00E451AE">
      <w:pPr>
        <w:tabs>
          <w:tab w:val="left" w:pos="2346"/>
          <w:tab w:val="left" w:pos="4692"/>
          <w:tab w:val="left" w:pos="7038"/>
        </w:tabs>
        <w:ind w:left="0" w:hanging="2"/>
        <w:jc w:val="center"/>
        <w:rPr>
          <w:rFonts w:ascii="Calibri" w:eastAsia="Calibri" w:hAnsi="Calibri" w:cs="Calibri"/>
        </w:rPr>
      </w:pPr>
    </w:p>
    <w:p w14:paraId="20E2309E" w14:textId="77777777" w:rsidR="00E451AE" w:rsidRDefault="00E451AE">
      <w:pPr>
        <w:tabs>
          <w:tab w:val="left" w:pos="2346"/>
          <w:tab w:val="left" w:pos="4692"/>
          <w:tab w:val="left" w:pos="7038"/>
        </w:tabs>
        <w:ind w:left="0" w:hanging="2"/>
        <w:jc w:val="center"/>
      </w:pPr>
    </w:p>
    <w:p w14:paraId="206FF238" w14:textId="77777777" w:rsidR="00E451AE" w:rsidRDefault="00A03152">
      <w:pPr>
        <w:tabs>
          <w:tab w:val="left" w:pos="2346"/>
          <w:tab w:val="left" w:pos="4692"/>
          <w:tab w:val="left" w:pos="7038"/>
        </w:tabs>
        <w:ind w:left="0" w:hanging="2"/>
        <w:jc w:val="center"/>
      </w:pPr>
      <w:bookmarkStart w:id="9" w:name="_Hlk105147365"/>
      <w:r>
        <w:rPr>
          <w:b/>
        </w:rPr>
        <w:t>JURISPRUDENŢA CURŢII CONSTITUŢIONALE</w:t>
      </w:r>
    </w:p>
    <w:bookmarkEnd w:id="9"/>
    <w:p w14:paraId="01AC1980" w14:textId="77777777" w:rsidR="00E451AE" w:rsidRDefault="00E451AE">
      <w:pPr>
        <w:ind w:left="0" w:hanging="2"/>
        <w:jc w:val="both"/>
      </w:pPr>
    </w:p>
    <w:p w14:paraId="425AFE18" w14:textId="77777777" w:rsidR="00E451AE" w:rsidRDefault="00E451AE">
      <w:pPr>
        <w:ind w:left="0" w:hanging="2"/>
        <w:jc w:val="both"/>
      </w:pPr>
    </w:p>
    <w:p w14:paraId="37D2BA36" w14:textId="77777777" w:rsidR="00E451AE" w:rsidRDefault="00A03152">
      <w:pPr>
        <w:spacing w:after="240"/>
        <w:ind w:left="0" w:hanging="2"/>
        <w:jc w:val="both"/>
      </w:pPr>
      <w:r>
        <w:t>Aplicarea dispoziţiilor Constituţiei României în următoarele decizii ale Curţii Constituţionale a României:</w:t>
      </w:r>
    </w:p>
    <w:p w14:paraId="2A3E6BC8" w14:textId="77777777" w:rsidR="00E451AE" w:rsidRDefault="00E451AE">
      <w:pPr>
        <w:ind w:left="0" w:hanging="2"/>
        <w:jc w:val="both"/>
      </w:pPr>
    </w:p>
    <w:p w14:paraId="37B99A0B" w14:textId="77777777" w:rsidR="00E451AE" w:rsidRDefault="000002F6">
      <w:pPr>
        <w:numPr>
          <w:ilvl w:val="0"/>
          <w:numId w:val="4"/>
        </w:numPr>
        <w:ind w:left="0" w:hanging="2"/>
        <w:jc w:val="both"/>
      </w:pPr>
      <w:hyperlink r:id="rId17">
        <w:r w:rsidR="00A03152">
          <w:t>Decizia nr. 265 din data de 06.05.2014</w:t>
        </w:r>
      </w:hyperlink>
      <w:r w:rsidR="00A03152">
        <w:t xml:space="preserve">, referitoare la excepţia de neconstituţionalitate a dispoziţiilor art.5 din Codul penal, publicată în Monitorul Oficial nr.372 din data de 20.05.2014; </w:t>
      </w:r>
    </w:p>
    <w:p w14:paraId="66576F49" w14:textId="77777777" w:rsidR="00E451AE" w:rsidRDefault="000002F6">
      <w:pPr>
        <w:numPr>
          <w:ilvl w:val="0"/>
          <w:numId w:val="4"/>
        </w:numPr>
        <w:ind w:left="0" w:hanging="2"/>
        <w:jc w:val="both"/>
      </w:pPr>
      <w:hyperlink r:id="rId18">
        <w:r w:rsidR="00A03152">
          <w:t>Decizia nr. 67 din data de 26.02.2015</w:t>
        </w:r>
      </w:hyperlink>
      <w:r w:rsidR="00A03152">
        <w:t xml:space="preserve"> referitoare la excepţia de neconstituţionalitate a dispoziţiilor art.19 din Legea nr.682/2002 privind protecţia martorilor, publicată în Monitorul Oficial nr.185 din data de 18.03.2015; </w:t>
      </w:r>
    </w:p>
    <w:p w14:paraId="435534D0" w14:textId="77777777" w:rsidR="00E451AE" w:rsidRDefault="00A03152">
      <w:pPr>
        <w:numPr>
          <w:ilvl w:val="0"/>
          <w:numId w:val="4"/>
        </w:numPr>
        <w:ind w:left="0" w:hanging="2"/>
        <w:jc w:val="both"/>
      </w:pPr>
      <w:r>
        <w:t>Decizia nr. 397 din data de 15.06.2016 referitoare la excepţia de neconstituţionalitate a dispoziţiilor art. 67 din Legea nr. 192/2006 privind medierea şi organizarea profesiei de mediator, în interpretarea dată prin Decizia nr. 9 din 17 aprilie 2015 a Înaltei Curţi de Casaţie şi Justiţie - Completul pentru dezlegarea unor chestiuni de drept în materie penală, şi ale art. 16 alin. (1) lit. g) teza finală din Codul de procedură penală, publicată în Monitorul Oficial nr. 532 din data de 15.07.2016;</w:t>
      </w:r>
    </w:p>
    <w:p w14:paraId="36D7DB9E" w14:textId="77777777" w:rsidR="00E451AE" w:rsidRDefault="00A03152">
      <w:pPr>
        <w:numPr>
          <w:ilvl w:val="0"/>
          <w:numId w:val="4"/>
        </w:numPr>
        <w:ind w:left="0" w:hanging="2"/>
        <w:jc w:val="both"/>
      </w:pPr>
      <w:r>
        <w:t xml:space="preserve">Decizia nr. 405 din data de 15.06.2016 </w:t>
      </w:r>
      <w:proofErr w:type="gramStart"/>
      <w:r>
        <w:t>referitoare  la</w:t>
      </w:r>
      <w:proofErr w:type="gramEnd"/>
      <w:r>
        <w:t xml:space="preserve"> excepția de neconstituționalitate a dispoziţiilor art.246 din Codul penal din 1969, ale art.297 alin.(1) din Codul penal şi ale art.132 din Legea nr.78/2000 pentru prevenirea, descoperirea şi sancţionarea faptelor de corupţie, publicată în Monitorul Oficial nr.  517 din data de 8.07.2016;</w:t>
      </w:r>
    </w:p>
    <w:p w14:paraId="1210FDE4" w14:textId="77777777" w:rsidR="00E451AE" w:rsidRDefault="00A03152">
      <w:pPr>
        <w:numPr>
          <w:ilvl w:val="0"/>
          <w:numId w:val="4"/>
        </w:numPr>
        <w:ind w:left="0" w:hanging="2"/>
        <w:jc w:val="both"/>
      </w:pPr>
      <w:r>
        <w:t>Decizia nr. 368 din data de 30.05.2017 referitoare la excepţia de neconstituţionalitate a dispoziţiilor art. 35 alin. (1) şi ale art. 39 alin. (1) lit. b) din Codul penal, publicată în Monitorul Oficial nr. 566 din data de 17.07.2017;</w:t>
      </w:r>
    </w:p>
    <w:p w14:paraId="30E8BDDD" w14:textId="77777777" w:rsidR="00E451AE" w:rsidRDefault="00A03152">
      <w:pPr>
        <w:numPr>
          <w:ilvl w:val="0"/>
          <w:numId w:val="4"/>
        </w:numPr>
        <w:ind w:left="0" w:hanging="2"/>
        <w:jc w:val="both"/>
      </w:pPr>
      <w:r>
        <w:t>Decizia nr. 392 din data de 06.06.2017 referitoare la excepţia de neconstituţionalitate a dispoziţiilor art. 248 din Codul penal din 1969, ale art. 297 alin. (1) din Codul penal şi ale art. 13</w:t>
      </w:r>
      <w:r>
        <w:rPr>
          <w:vertAlign w:val="superscript"/>
        </w:rPr>
        <w:t>2</w:t>
      </w:r>
      <w:r>
        <w:t xml:space="preserve"> din Legea nr. 78/2000 pentru prevenirea, descoperirea şi sancţionarea faptelor de corupţie, publicată în Monitorul Oficial nr. 504 din data de 30.06.2017;</w:t>
      </w:r>
    </w:p>
    <w:p w14:paraId="6BC89D4D" w14:textId="77777777" w:rsidR="00E451AE" w:rsidRDefault="00A03152">
      <w:pPr>
        <w:numPr>
          <w:ilvl w:val="0"/>
          <w:numId w:val="4"/>
        </w:numPr>
        <w:ind w:left="0" w:hanging="2"/>
        <w:jc w:val="both"/>
      </w:pPr>
      <w:r>
        <w:t>Decizia nr. 458 din 22 iunie 2017 referitoare la excepția de neconstituționalitate a dispozițiilor art. 15 din Legea nr. 78/</w:t>
      </w:r>
      <w:proofErr w:type="gramStart"/>
      <w:r>
        <w:t>2000  pentru</w:t>
      </w:r>
      <w:proofErr w:type="gramEnd"/>
      <w:r>
        <w:t xml:space="preserve"> prevenirea, descoperirea şi sancționarea faptelor de corupție, raportate la art. 13</w:t>
      </w:r>
      <w:r>
        <w:rPr>
          <w:vertAlign w:val="superscript"/>
        </w:rPr>
        <w:t>2</w:t>
      </w:r>
      <w:r>
        <w:t xml:space="preserve"> din același act normativ, cu referire la infracțiunea de abuz în serviciu, publicată în Monitorul Oficial, Partea I, Nr. 890 din 13 noiembrie 2017; </w:t>
      </w:r>
    </w:p>
    <w:p w14:paraId="0A4780E5" w14:textId="77777777" w:rsidR="00E451AE" w:rsidRDefault="00A03152">
      <w:pPr>
        <w:numPr>
          <w:ilvl w:val="0"/>
          <w:numId w:val="4"/>
        </w:numPr>
        <w:ind w:left="0" w:hanging="2"/>
        <w:jc w:val="both"/>
      </w:pPr>
      <w:r>
        <w:t>Decizia nr. 518 din data de 6 iulie 2017 referitoare la excepția de neconstituționalitate a dispozițiilor  art.249 alin.(1) din Codul penal din 1969 și ale art.298 din Codul penal publicată în Monitorul Oficial nr. 765 din data de 26.09.2017;</w:t>
      </w:r>
    </w:p>
    <w:p w14:paraId="742896A6" w14:textId="77777777" w:rsidR="00E451AE" w:rsidRDefault="00A03152">
      <w:pPr>
        <w:numPr>
          <w:ilvl w:val="0"/>
          <w:numId w:val="4"/>
        </w:numPr>
        <w:ind w:left="0" w:hanging="2"/>
        <w:jc w:val="both"/>
      </w:pPr>
      <w:r>
        <w:t>Decizia nr. 297 din data de 26 aprilie 2018 referitoare la excepția de neconstituționalitate a dispozițiilor art. 155 alin.1 din Codul penal, publicată în Monitorul Oficial nr. 518 din data de 25.06.2018;</w:t>
      </w:r>
    </w:p>
    <w:p w14:paraId="542846C1" w14:textId="77777777" w:rsidR="00E451AE" w:rsidRDefault="00A03152">
      <w:pPr>
        <w:numPr>
          <w:ilvl w:val="0"/>
          <w:numId w:val="4"/>
        </w:numPr>
        <w:ind w:left="0" w:hanging="2"/>
        <w:jc w:val="both"/>
      </w:pPr>
      <w:r>
        <w:t>Decizia nr. 418 din 19 iunie 2018 referitoare la excepția de neconstituționalitate a dispozițiilor art. 29 alin. (1) lit. c) din Legea nr. 656/2002 pentru prevenirea și sancționarea spălării banilor</w:t>
      </w:r>
      <w:r>
        <w:rPr>
          <w:highlight w:val="white"/>
        </w:rPr>
        <w:t>, precum și pentru instituirea unor măsuri de prevenire și combatere a finanțării terorismului</w:t>
      </w:r>
      <w:r>
        <w:t xml:space="preserve">, în interpretarea dată prin </w:t>
      </w:r>
      <w:r>
        <w:lastRenderedPageBreak/>
        <w:t>decizia Înaltei Curți nr. 16 din 08 iunie 2016, publicată în Monitorul Oficial, Partea I, Nr. 625 din 19 iulie 2018;</w:t>
      </w:r>
    </w:p>
    <w:p w14:paraId="282F3C0C" w14:textId="77777777" w:rsidR="00E451AE" w:rsidRDefault="00A03152">
      <w:pPr>
        <w:numPr>
          <w:ilvl w:val="0"/>
          <w:numId w:val="4"/>
        </w:numPr>
        <w:ind w:left="0" w:hanging="2"/>
        <w:jc w:val="both"/>
      </w:pPr>
      <w:r>
        <w:t>Decizia nr. 601 din 27 septembrie 2018 referitoare la excepția de neconstituționalitate a dispozițiilor art.129 alin.(2) lit.b) din Codul penal, publicată în Monitorul Oficial nr. 1057 din data de 13.12.2018</w:t>
      </w:r>
      <w:r>
        <w:rPr>
          <w:highlight w:val="white"/>
        </w:rPr>
        <w:t>;</w:t>
      </w:r>
    </w:p>
    <w:p w14:paraId="371F5B59" w14:textId="77777777" w:rsidR="00E451AE" w:rsidRDefault="00A03152">
      <w:pPr>
        <w:numPr>
          <w:ilvl w:val="0"/>
          <w:numId w:val="4"/>
        </w:numPr>
        <w:ind w:left="0" w:hanging="2"/>
        <w:jc w:val="both"/>
      </w:pPr>
      <w:r>
        <w:t xml:space="preserve">Decizia nr. 651 din 25 octombrie 2018 referitoare la excepția de neconstituționalitate a dispozițiilor art. 595 alin. (1) din Codul de procedură penală și ale art. 4 din Codul penal, </w:t>
      </w:r>
      <w:r>
        <w:rPr>
          <w:highlight w:val="white"/>
        </w:rPr>
        <w:t>publicată în Monitorul Oficial</w:t>
      </w:r>
      <w:r>
        <w:t xml:space="preserve">, Partea I, Nr. </w:t>
      </w:r>
      <w:r>
        <w:rPr>
          <w:highlight w:val="white"/>
        </w:rPr>
        <w:t>1083 din 20 decembrie 2018;</w:t>
      </w:r>
    </w:p>
    <w:p w14:paraId="490027A5" w14:textId="66B24D08" w:rsidR="00E451AE" w:rsidRDefault="00A03152">
      <w:pPr>
        <w:numPr>
          <w:ilvl w:val="0"/>
          <w:numId w:val="4"/>
        </w:numPr>
        <w:ind w:left="0" w:hanging="2"/>
        <w:jc w:val="both"/>
      </w:pPr>
      <w:r>
        <w:rPr>
          <w:highlight w:val="white"/>
        </w:rPr>
        <w:t>Decizia nr.466 din 29 iulie 2019 referitoare la obiecția de neconstituționalitate a Legii pentru modificarea si completarea Legii nr.286/2009 privind Codul Penal, precum si a Legii nr. 78/2000 pentru prevenirea, descoperirea si sancționarea faptelor de corupție, publicată in Monitorul Oficial, Partea I, nr. 862 din 25.10.2019</w:t>
      </w:r>
      <w:r w:rsidR="00AF11C0">
        <w:t>;</w:t>
      </w:r>
    </w:p>
    <w:p w14:paraId="25FDB544" w14:textId="77777777" w:rsidR="00E451AE" w:rsidRPr="00437716" w:rsidRDefault="00A03152">
      <w:pPr>
        <w:numPr>
          <w:ilvl w:val="0"/>
          <w:numId w:val="4"/>
        </w:numPr>
        <w:ind w:left="0" w:hanging="2"/>
        <w:jc w:val="both"/>
        <w:rPr>
          <w:highlight w:val="white"/>
        </w:rPr>
      </w:pPr>
      <w:r w:rsidRPr="00437716">
        <w:rPr>
          <w:shd w:val="clear" w:color="auto" w:fill="F7F7F7"/>
        </w:rPr>
        <w:t xml:space="preserve">Decizia nr.708 din 28 octombrie 2021 referitoare la excepția de neconstituționalitate a dispozițiilor art.136 alin.(2) și ale art.137 alin.(3) teza a doua, cu referire la sintagma „cifra de afaceri”, din Codul penal, </w:t>
      </w:r>
      <w:r w:rsidRPr="00437716">
        <w:rPr>
          <w:highlight w:val="white"/>
        </w:rPr>
        <w:t>publicată în Monitorul Oficial</w:t>
      </w:r>
      <w:r w:rsidRPr="00437716">
        <w:t xml:space="preserve">, Partea I, Nr. </w:t>
      </w:r>
      <w:r w:rsidRPr="00437716">
        <w:rPr>
          <w:highlight w:val="white"/>
        </w:rPr>
        <w:t>1160 din 7 decembrie 2021;</w:t>
      </w:r>
    </w:p>
    <w:p w14:paraId="111FC0C1" w14:textId="77777777" w:rsidR="00E451AE" w:rsidRPr="00437716" w:rsidRDefault="00A03152">
      <w:pPr>
        <w:numPr>
          <w:ilvl w:val="0"/>
          <w:numId w:val="4"/>
        </w:numPr>
        <w:ind w:left="0" w:hanging="2"/>
        <w:jc w:val="both"/>
        <w:rPr>
          <w:highlight w:val="white"/>
        </w:rPr>
      </w:pPr>
      <w:r w:rsidRPr="00437716">
        <w:rPr>
          <w:shd w:val="clear" w:color="auto" w:fill="F7F7F7"/>
        </w:rPr>
        <w:t xml:space="preserve">Decizia nr.176 din 24 martie 2022 referitoare la excepția de neconstituționalitate a dispoziţiilor art.80 alin.(2) lit.d) din Codul penal și ale art.270 alin.(3) din Legea nr.86/2006 privind Codul vamal al României, </w:t>
      </w:r>
      <w:r w:rsidRPr="00437716">
        <w:rPr>
          <w:highlight w:val="white"/>
        </w:rPr>
        <w:t>publicată în Monitorul Oficial</w:t>
      </w:r>
      <w:r w:rsidRPr="00437716">
        <w:t xml:space="preserve">, Partea I, Nr. </w:t>
      </w:r>
      <w:r w:rsidRPr="00437716">
        <w:rPr>
          <w:highlight w:val="white"/>
        </w:rPr>
        <w:t>451 din 5 mai 2022.</w:t>
      </w:r>
    </w:p>
    <w:bookmarkEnd w:id="1"/>
    <w:p w14:paraId="0A3277CB" w14:textId="77777777" w:rsidR="00E451AE" w:rsidRDefault="00E451AE">
      <w:pPr>
        <w:widowControl w:val="0"/>
        <w:spacing w:line="360" w:lineRule="auto"/>
        <w:ind w:left="0" w:hanging="2"/>
        <w:jc w:val="center"/>
      </w:pPr>
    </w:p>
    <w:p w14:paraId="4D2A6BC1" w14:textId="77777777" w:rsidR="00E451AE" w:rsidRDefault="00E451AE">
      <w:pPr>
        <w:ind w:left="0" w:hanging="2"/>
        <w:rPr>
          <w:rFonts w:ascii="Calibri" w:eastAsia="Calibri" w:hAnsi="Calibri" w:cs="Calibri"/>
        </w:rPr>
      </w:pPr>
      <w:bookmarkStart w:id="10" w:name="_GoBack"/>
      <w:bookmarkEnd w:id="10"/>
    </w:p>
    <w:sectPr w:rsidR="00E451AE">
      <w:headerReference w:type="even" r:id="rId19"/>
      <w:headerReference w:type="default" r:id="rId20"/>
      <w:footerReference w:type="even" r:id="rId21"/>
      <w:footerReference w:type="default" r:id="rId22"/>
      <w:headerReference w:type="first" r:id="rId23"/>
      <w:footerReference w:type="first" r:id="rId24"/>
      <w:pgSz w:w="11906" w:h="16838"/>
      <w:pgMar w:top="1080" w:right="566" w:bottom="900" w:left="1260" w:header="709" w:footer="72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512EE" w14:textId="77777777" w:rsidR="000002F6" w:rsidRDefault="000002F6">
      <w:pPr>
        <w:spacing w:line="240" w:lineRule="auto"/>
        <w:ind w:left="0" w:hanging="2"/>
      </w:pPr>
      <w:r>
        <w:separator/>
      </w:r>
    </w:p>
  </w:endnote>
  <w:endnote w:type="continuationSeparator" w:id="0">
    <w:p w14:paraId="0838BD58" w14:textId="77777777" w:rsidR="000002F6" w:rsidRDefault="000002F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20FB7" w14:textId="77777777" w:rsidR="00602778" w:rsidRDefault="00602778">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76A33" w14:textId="61DA5C06" w:rsidR="00E451AE" w:rsidRDefault="00A03152">
    <w:pPr>
      <w:pBdr>
        <w:top w:val="single" w:sz="4" w:space="1" w:color="000000"/>
        <w:left w:val="nil"/>
        <w:bottom w:val="nil"/>
        <w:right w:val="nil"/>
        <w:between w:val="nil"/>
      </w:pBdr>
      <w:tabs>
        <w:tab w:val="center" w:pos="4153"/>
        <w:tab w:val="right" w:pos="8306"/>
      </w:tabs>
      <w:spacing w:line="240" w:lineRule="auto"/>
      <w:ind w:left="0" w:hanging="2"/>
      <w:rPr>
        <w:color w:val="000000"/>
      </w:rPr>
    </w:pPr>
    <w:r>
      <w:rPr>
        <w:noProof/>
      </w:rPr>
      <mc:AlternateContent>
        <mc:Choice Requires="wpg">
          <w:drawing>
            <wp:anchor distT="0" distB="0" distL="114300" distR="114300" simplePos="0" relativeHeight="251659264" behindDoc="0" locked="0" layoutInCell="1" hidden="0" allowOverlap="1" wp14:anchorId="208C0028" wp14:editId="35EEBCA6">
              <wp:simplePos x="0" y="0"/>
              <wp:positionH relativeFrom="column">
                <wp:posOffset>5702300</wp:posOffset>
              </wp:positionH>
              <wp:positionV relativeFrom="paragraph">
                <wp:posOffset>-12699</wp:posOffset>
              </wp:positionV>
              <wp:extent cx="352425" cy="238125"/>
              <wp:effectExtent l="0" t="0" r="0" b="0"/>
              <wp:wrapNone/>
              <wp:docPr id="4" name="Rectangle 4"/>
              <wp:cNvGraphicFramePr/>
              <a:graphic xmlns:a="http://schemas.openxmlformats.org/drawingml/2006/main">
                <a:graphicData uri="http://schemas.microsoft.com/office/word/2010/wordprocessingShape">
                  <wps:wsp>
                    <wps:cNvSpPr/>
                    <wps:spPr>
                      <a:xfrm>
                        <a:off x="5174550" y="3665700"/>
                        <a:ext cx="342900" cy="228600"/>
                      </a:xfrm>
                      <a:prstGeom prst="rect">
                        <a:avLst/>
                      </a:prstGeom>
                      <a:noFill/>
                      <a:ln>
                        <a:noFill/>
                      </a:ln>
                    </wps:spPr>
                    <wps:txbx>
                      <w:txbxContent>
                        <w:p w14:paraId="57999454" w14:textId="77777777" w:rsidR="00E451AE" w:rsidRDefault="00A03152">
                          <w:pPr>
                            <w:spacing w:line="240" w:lineRule="auto"/>
                            <w:ind w:left="0" w:hanging="2"/>
                            <w:jc w:val="right"/>
                          </w:pPr>
                          <w:r>
                            <w:rPr>
                              <w:rFonts w:ascii="Arial" w:eastAsia="Arial" w:hAnsi="Arial" w:cs="Arial"/>
                              <w:color w:val="000000"/>
                              <w:sz w:val="20"/>
                            </w:rPr>
                            <w:t xml:space="preserve"> PAGE 11</w:t>
                          </w:r>
                        </w:p>
                        <w:p w14:paraId="39DC4C8F" w14:textId="77777777" w:rsidR="00E451AE" w:rsidRDefault="00E451AE">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5702300</wp:posOffset>
              </wp:positionH>
              <wp:positionV relativeFrom="paragraph">
                <wp:posOffset>-12699</wp:posOffset>
              </wp:positionV>
              <wp:extent cx="352425" cy="238125"/>
              <wp:effectExtent b="0" l="0" r="0" t="0"/>
              <wp:wrapNone/>
              <wp:docPr id="4"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352425" cy="238125"/>
                      </a:xfrm>
                      <a:prstGeom prst="rect"/>
                      <a:ln/>
                    </pic:spPr>
                  </pic:pic>
                </a:graphicData>
              </a:graphic>
            </wp:anchor>
          </w:drawing>
        </mc:Fallback>
      </mc:AlternateContent>
    </w:r>
    <w:r>
      <w:rPr>
        <w:noProof/>
      </w:rPr>
      <mc:AlternateContent>
        <mc:Choice Requires="wps">
          <w:drawing>
            <wp:anchor distT="0" distB="0" distL="114300" distR="114300" simplePos="0" relativeHeight="251661312" behindDoc="0" locked="0" layoutInCell="1" hidden="0" allowOverlap="1" wp14:anchorId="02E2C270" wp14:editId="110943ED">
              <wp:simplePos x="0" y="0"/>
              <wp:positionH relativeFrom="column">
                <wp:posOffset>-114299</wp:posOffset>
              </wp:positionH>
              <wp:positionV relativeFrom="paragraph">
                <wp:posOffset>-25399</wp:posOffset>
              </wp:positionV>
              <wp:extent cx="2524125" cy="634365"/>
              <wp:effectExtent l="0" t="0" r="0" b="0"/>
              <wp:wrapNone/>
              <wp:docPr id="6" name="Rectangle 6"/>
              <wp:cNvGraphicFramePr/>
              <a:graphic xmlns:a="http://schemas.openxmlformats.org/drawingml/2006/main">
                <a:graphicData uri="http://schemas.microsoft.com/office/word/2010/wordprocessingShape">
                  <wps:wsp>
                    <wps:cNvSpPr/>
                    <wps:spPr>
                      <a:xfrm>
                        <a:off x="4088700" y="3467580"/>
                        <a:ext cx="2514600" cy="624840"/>
                      </a:xfrm>
                      <a:prstGeom prst="rect">
                        <a:avLst/>
                      </a:prstGeom>
                      <a:noFill/>
                      <a:ln>
                        <a:noFill/>
                      </a:ln>
                    </wps:spPr>
                    <wps:txbx>
                      <w:txbxContent>
                        <w:p w14:paraId="36788926" w14:textId="77777777" w:rsidR="00E451AE" w:rsidRDefault="00E451AE">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2E2C270" id="Rectangle 6" o:spid="_x0000_s1027" style="position:absolute;margin-left:-9pt;margin-top:-2pt;width:198.75pt;height:49.9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" filled="f" stroked="f">
              <v:textbox inset="2.53958mm,1.2694mm,2.53958mm,1.2694mm">
                <w:txbxContent>
                  <w:p w14:paraId="36788926" w14:textId="77777777" w:rsidR="00E451AE" w:rsidRDefault="00E451AE">
                    <w:pPr>
                      <w:spacing w:line="240" w:lineRule="auto"/>
                      <w:ind w:left="0" w:hanging="2"/>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2BCC2" w14:textId="77777777" w:rsidR="00E451AE" w:rsidRDefault="00A03152">
    <w:pPr>
      <w:pBdr>
        <w:top w:val="single" w:sz="4" w:space="1" w:color="000000"/>
        <w:left w:val="nil"/>
        <w:bottom w:val="nil"/>
        <w:right w:val="nil"/>
        <w:between w:val="nil"/>
      </w:pBdr>
      <w:tabs>
        <w:tab w:val="center" w:pos="4153"/>
        <w:tab w:val="right" w:pos="8306"/>
      </w:tabs>
      <w:spacing w:line="240" w:lineRule="auto"/>
      <w:ind w:left="0" w:hanging="2"/>
      <w:rPr>
        <w:color w:val="000000"/>
      </w:rPr>
    </w:pPr>
    <w:r>
      <w:rPr>
        <w:noProof/>
      </w:rPr>
      <mc:AlternateContent>
        <mc:Choice Requires="wps">
          <w:drawing>
            <wp:anchor distT="0" distB="0" distL="114300" distR="114300" simplePos="0" relativeHeight="251662336" behindDoc="0" locked="0" layoutInCell="1" hidden="0" allowOverlap="1" wp14:anchorId="6F30695A" wp14:editId="2F468A26">
              <wp:simplePos x="0" y="0"/>
              <wp:positionH relativeFrom="column">
                <wp:posOffset>2730500</wp:posOffset>
              </wp:positionH>
              <wp:positionV relativeFrom="paragraph">
                <wp:posOffset>203200</wp:posOffset>
              </wp:positionV>
              <wp:extent cx="3209925" cy="238125"/>
              <wp:effectExtent l="0" t="0" r="0" b="0"/>
              <wp:wrapNone/>
              <wp:docPr id="5" name="Rectangle 5"/>
              <wp:cNvGraphicFramePr/>
              <a:graphic xmlns:a="http://schemas.openxmlformats.org/drawingml/2006/main">
                <a:graphicData uri="http://schemas.microsoft.com/office/word/2010/wordprocessingShape">
                  <wps:wsp>
                    <wps:cNvSpPr/>
                    <wps:spPr>
                      <a:xfrm>
                        <a:off x="3745800" y="3665700"/>
                        <a:ext cx="3200400" cy="228600"/>
                      </a:xfrm>
                      <a:prstGeom prst="rect">
                        <a:avLst/>
                      </a:prstGeom>
                      <a:noFill/>
                      <a:ln>
                        <a:noFill/>
                      </a:ln>
                    </wps:spPr>
                    <wps:txbx>
                      <w:txbxContent>
                        <w:p w14:paraId="7F98FB17" w14:textId="77777777" w:rsidR="00E451AE" w:rsidRDefault="00E451AE">
                          <w:pPr>
                            <w:spacing w:line="240" w:lineRule="auto"/>
                            <w:ind w:left="0" w:hanging="2"/>
                          </w:pPr>
                        </w:p>
                        <w:p w14:paraId="2AE58D7B" w14:textId="77777777" w:rsidR="00E451AE" w:rsidRDefault="00E451AE">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6F30695A" id="Rectangle 5" o:spid="_x0000_s1028" style="position:absolute;margin-left:215pt;margin-top:16pt;width:252.75pt;height:18.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" filled="f" stroked="f">
              <v:textbox inset="2.53958mm,1.2694mm,2.53958mm,1.2694mm">
                <w:txbxContent>
                  <w:p w14:paraId="7F98FB17" w14:textId="77777777" w:rsidR="00E451AE" w:rsidRDefault="00E451AE">
                    <w:pPr>
                      <w:spacing w:line="240" w:lineRule="auto"/>
                      <w:ind w:left="0" w:hanging="2"/>
                    </w:pPr>
                  </w:p>
                  <w:p w14:paraId="2AE58D7B" w14:textId="77777777" w:rsidR="00E451AE" w:rsidRDefault="00E451AE">
                    <w:pPr>
                      <w:spacing w:line="240" w:lineRule="auto"/>
                      <w:ind w:left="0" w:hanging="2"/>
                    </w:pPr>
                  </w:p>
                </w:txbxContent>
              </v:textbox>
            </v:rect>
          </w:pict>
        </mc:Fallback>
      </mc:AlternateContent>
    </w:r>
    <w:r>
      <w:rPr>
        <w:noProof/>
      </w:rPr>
      <mc:AlternateContent>
        <mc:Choice Requires="wpg">
          <w:drawing>
            <wp:anchor distT="0" distB="0" distL="114300" distR="114300" simplePos="0" relativeHeight="251663360" behindDoc="0" locked="0" layoutInCell="1" hidden="0" allowOverlap="1" wp14:anchorId="402E8F5F" wp14:editId="553F18DC">
              <wp:simplePos x="0" y="0"/>
              <wp:positionH relativeFrom="column">
                <wp:posOffset>5702300</wp:posOffset>
              </wp:positionH>
              <wp:positionV relativeFrom="paragraph">
                <wp:posOffset>-12699</wp:posOffset>
              </wp:positionV>
              <wp:extent cx="238125" cy="238125"/>
              <wp:effectExtent l="0" t="0" r="0" b="0"/>
              <wp:wrapNone/>
              <wp:docPr id="2" name="Rectangle 2"/>
              <wp:cNvGraphicFramePr/>
              <a:graphic xmlns:a="http://schemas.openxmlformats.org/drawingml/2006/main">
                <a:graphicData uri="http://schemas.microsoft.com/office/word/2010/wordprocessingShape">
                  <wps:wsp>
                    <wps:cNvSpPr/>
                    <wps:spPr>
                      <a:xfrm>
                        <a:off x="5231700" y="3665700"/>
                        <a:ext cx="228600" cy="228600"/>
                      </a:xfrm>
                      <a:prstGeom prst="rect">
                        <a:avLst/>
                      </a:prstGeom>
                      <a:noFill/>
                      <a:ln>
                        <a:noFill/>
                      </a:ln>
                    </wps:spPr>
                    <wps:txbx>
                      <w:txbxContent>
                        <w:p w14:paraId="6F63FE52" w14:textId="77777777" w:rsidR="00E451AE" w:rsidRDefault="00A03152">
                          <w:pPr>
                            <w:spacing w:line="240" w:lineRule="auto"/>
                            <w:ind w:left="0" w:hanging="2"/>
                            <w:jc w:val="right"/>
                          </w:pPr>
                          <w:r>
                            <w:rPr>
                              <w:rFonts w:ascii="Arial" w:eastAsia="Arial" w:hAnsi="Arial" w:cs="Arial"/>
                              <w:color w:val="000000"/>
                              <w:sz w:val="20"/>
                            </w:rPr>
                            <w:t xml:space="preserve"> PAGE 1</w:t>
                          </w:r>
                        </w:p>
                        <w:p w14:paraId="6A208EF1" w14:textId="77777777" w:rsidR="00E451AE" w:rsidRDefault="00E451AE">
                          <w:pPr>
                            <w:spacing w:line="240" w:lineRule="auto"/>
                            <w:ind w:left="0" w:hanging="2"/>
                          </w:pPr>
                        </w:p>
                      </w:txbxContent>
                    </wps:txbx>
                    <wps:bodyPr spcFirstLastPara="1" wrap="square" lIns="91425" tIns="45700" rIns="91425" bIns="457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drawing>
            <wp:anchor allowOverlap="1" behindDoc="0" distB="0" distT="0" distL="114300" distR="114300" hidden="0" layoutInCell="1" locked="0" relativeHeight="0" simplePos="0">
              <wp:simplePos x="0" y="0"/>
              <wp:positionH relativeFrom="column">
                <wp:posOffset>5702300</wp:posOffset>
              </wp:positionH>
              <wp:positionV relativeFrom="paragraph">
                <wp:posOffset>-12699</wp:posOffset>
              </wp:positionV>
              <wp:extent cx="238125" cy="238125"/>
              <wp:effectExtent b="0" l="0" r="0" t="0"/>
              <wp:wrapNone/>
              <wp:docPr id="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38125" cy="238125"/>
                      </a:xfrm>
                      <a:prstGeom prst="rect"/>
                      <a:ln/>
                    </pic:spPr>
                  </pic:pic>
                </a:graphicData>
              </a:graphic>
            </wp:anchor>
          </w:drawing>
        </mc:Fallback>
      </mc:AlternateContent>
    </w:r>
    <w:r>
      <w:rPr>
        <w:noProof/>
      </w:rPr>
      <mc:AlternateContent>
        <mc:Choice Requires="wps">
          <w:drawing>
            <wp:anchor distT="0" distB="0" distL="114300" distR="114300" simplePos="0" relativeHeight="251664384" behindDoc="0" locked="0" layoutInCell="1" hidden="0" allowOverlap="1" wp14:anchorId="70A99898" wp14:editId="354FF5E8">
              <wp:simplePos x="0" y="0"/>
              <wp:positionH relativeFrom="column">
                <wp:posOffset>-114299</wp:posOffset>
              </wp:positionH>
              <wp:positionV relativeFrom="paragraph">
                <wp:posOffset>-25399</wp:posOffset>
              </wp:positionV>
              <wp:extent cx="2409825" cy="634365"/>
              <wp:effectExtent l="0" t="0" r="0" b="0"/>
              <wp:wrapNone/>
              <wp:docPr id="1" name="Rectangle 1"/>
              <wp:cNvGraphicFramePr/>
              <a:graphic xmlns:a="http://schemas.openxmlformats.org/drawingml/2006/main">
                <a:graphicData uri="http://schemas.microsoft.com/office/word/2010/wordprocessingShape">
                  <wps:wsp>
                    <wps:cNvSpPr/>
                    <wps:spPr>
                      <a:xfrm>
                        <a:off x="4145850" y="3467580"/>
                        <a:ext cx="2400300" cy="624840"/>
                      </a:xfrm>
                      <a:prstGeom prst="rect">
                        <a:avLst/>
                      </a:prstGeom>
                      <a:noFill/>
                      <a:ln>
                        <a:noFill/>
                      </a:ln>
                    </wps:spPr>
                    <wps:txbx>
                      <w:txbxContent>
                        <w:p w14:paraId="423938CB" w14:textId="77777777" w:rsidR="00E451AE" w:rsidRDefault="00E451AE">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70A99898" id="Rectangle 1" o:spid="_x0000_s1030" style="position:absolute;margin-left:-9pt;margin-top:-2pt;width:189.75pt;height:49.9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" filled="f" stroked="f">
              <v:textbox inset="2.53958mm,1.2694mm,2.53958mm,1.2694mm">
                <w:txbxContent>
                  <w:p w14:paraId="423938CB" w14:textId="77777777" w:rsidR="00E451AE" w:rsidRDefault="00E451AE">
                    <w:pPr>
                      <w:spacing w:line="240" w:lineRule="auto"/>
                      <w:ind w:left="0" w:hanging="2"/>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E82F0" w14:textId="77777777" w:rsidR="000002F6" w:rsidRDefault="000002F6">
      <w:pPr>
        <w:spacing w:line="240" w:lineRule="auto"/>
        <w:ind w:left="0" w:hanging="2"/>
      </w:pPr>
      <w:r>
        <w:separator/>
      </w:r>
    </w:p>
  </w:footnote>
  <w:footnote w:type="continuationSeparator" w:id="0">
    <w:p w14:paraId="3624ACB8" w14:textId="77777777" w:rsidR="000002F6" w:rsidRDefault="000002F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C1E75" w14:textId="77777777" w:rsidR="00602778" w:rsidRDefault="00602778">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2A0AB" w14:textId="77777777" w:rsidR="00E451AE" w:rsidRDefault="00E451AE">
    <w:pPr>
      <w:pBdr>
        <w:top w:val="nil"/>
        <w:left w:val="nil"/>
        <w:bottom w:val="nil"/>
        <w:right w:val="nil"/>
        <w:between w:val="nil"/>
      </w:pBdr>
      <w:tabs>
        <w:tab w:val="center" w:pos="4153"/>
        <w:tab w:val="right" w:pos="8306"/>
      </w:tabs>
      <w:spacing w:line="240" w:lineRule="auto"/>
      <w:ind w:left="0" w:hanging="2"/>
      <w:rPr>
        <w:color w:val="000000"/>
      </w:rPr>
    </w:pPr>
  </w:p>
  <w:p w14:paraId="1B7A807D" w14:textId="77777777" w:rsidR="00E451AE" w:rsidRDefault="00E451AE">
    <w:pPr>
      <w:pBdr>
        <w:top w:val="nil"/>
        <w:left w:val="nil"/>
        <w:bottom w:val="nil"/>
        <w:right w:val="nil"/>
        <w:between w:val="nil"/>
      </w:pBdr>
      <w:tabs>
        <w:tab w:val="center" w:pos="4153"/>
        <w:tab w:val="right" w:pos="8306"/>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FF113" w14:textId="6DD1E11B" w:rsidR="00E451AE" w:rsidRDefault="00E451AE">
    <w:pPr>
      <w:pBdr>
        <w:top w:val="nil"/>
        <w:left w:val="nil"/>
        <w:bottom w:val="nil"/>
        <w:right w:val="nil"/>
        <w:between w:val="nil"/>
      </w:pBdr>
      <w:tabs>
        <w:tab w:val="center" w:pos="4153"/>
        <w:tab w:val="right" w:pos="8306"/>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93469"/>
    <w:multiLevelType w:val="multilevel"/>
    <w:tmpl w:val="CD3619E0"/>
    <w:lvl w:ilvl="0">
      <w:start w:val="1"/>
      <w:numFmt w:val="decimal"/>
      <w:lvlText w:val="%1."/>
      <w:lvlJc w:val="left"/>
      <w:pPr>
        <w:ind w:left="2880" w:hanging="360"/>
      </w:pPr>
      <w:rPr>
        <w:b w:val="0"/>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BA3119A"/>
    <w:multiLevelType w:val="multilevel"/>
    <w:tmpl w:val="C71AB394"/>
    <w:lvl w:ilvl="0">
      <w:start w:val="1"/>
      <w:numFmt w:val="upperRoman"/>
      <w:lvlText w:val="%1."/>
      <w:lvlJc w:val="left"/>
      <w:pPr>
        <w:ind w:left="720" w:hanging="720"/>
      </w:pPr>
      <w:rPr>
        <w:vertAlign w:val="baseline"/>
      </w:rPr>
    </w:lvl>
    <w:lvl w:ilvl="1">
      <w:start w:val="1"/>
      <w:numFmt w:val="decimal"/>
      <w:lvlText w:val="%1.%2"/>
      <w:lvlJc w:val="left"/>
      <w:pPr>
        <w:ind w:left="2340" w:hanging="360"/>
      </w:pPr>
      <w:rPr>
        <w:vertAlign w:val="baseline"/>
      </w:rPr>
    </w:lvl>
    <w:lvl w:ilvl="2">
      <w:start w:val="1"/>
      <w:numFmt w:val="decimal"/>
      <w:lvlText w:val="%1.%2.%3"/>
      <w:lvlJc w:val="left"/>
      <w:pPr>
        <w:ind w:left="4680" w:hanging="720"/>
      </w:pPr>
      <w:rPr>
        <w:vertAlign w:val="baseline"/>
      </w:rPr>
    </w:lvl>
    <w:lvl w:ilvl="3">
      <w:start w:val="1"/>
      <w:numFmt w:val="decimal"/>
      <w:lvlText w:val="%1.%2.%3.%4"/>
      <w:lvlJc w:val="left"/>
      <w:pPr>
        <w:ind w:left="6660" w:hanging="720"/>
      </w:pPr>
      <w:rPr>
        <w:vertAlign w:val="baseline"/>
      </w:rPr>
    </w:lvl>
    <w:lvl w:ilvl="4">
      <w:start w:val="1"/>
      <w:numFmt w:val="decimal"/>
      <w:lvlText w:val="%1.%2.%3.%4.%5"/>
      <w:lvlJc w:val="left"/>
      <w:pPr>
        <w:ind w:left="9000" w:hanging="1080"/>
      </w:pPr>
      <w:rPr>
        <w:vertAlign w:val="baseline"/>
      </w:rPr>
    </w:lvl>
    <w:lvl w:ilvl="5">
      <w:start w:val="1"/>
      <w:numFmt w:val="decimal"/>
      <w:lvlText w:val="%1.%2.%3.%4.%5.%6"/>
      <w:lvlJc w:val="left"/>
      <w:pPr>
        <w:ind w:left="10980" w:hanging="1080"/>
      </w:pPr>
      <w:rPr>
        <w:vertAlign w:val="baseline"/>
      </w:rPr>
    </w:lvl>
    <w:lvl w:ilvl="6">
      <w:start w:val="1"/>
      <w:numFmt w:val="decimal"/>
      <w:lvlText w:val="%1.%2.%3.%4.%5.%6.%7"/>
      <w:lvlJc w:val="left"/>
      <w:pPr>
        <w:ind w:left="13320" w:hanging="1440"/>
      </w:pPr>
      <w:rPr>
        <w:vertAlign w:val="baseline"/>
      </w:rPr>
    </w:lvl>
    <w:lvl w:ilvl="7">
      <w:start w:val="1"/>
      <w:numFmt w:val="decimal"/>
      <w:lvlText w:val="%1.%2.%3.%4.%5.%6.%7.%8"/>
      <w:lvlJc w:val="left"/>
      <w:pPr>
        <w:ind w:left="15300" w:hanging="1440"/>
      </w:pPr>
      <w:rPr>
        <w:vertAlign w:val="baseline"/>
      </w:rPr>
    </w:lvl>
    <w:lvl w:ilvl="8">
      <w:start w:val="1"/>
      <w:numFmt w:val="decimal"/>
      <w:lvlText w:val="%1.%2.%3.%4.%5.%6.%7.%8.%9"/>
      <w:lvlJc w:val="left"/>
      <w:pPr>
        <w:ind w:left="17640" w:hanging="1800"/>
      </w:pPr>
      <w:rPr>
        <w:vertAlign w:val="baseline"/>
      </w:rPr>
    </w:lvl>
  </w:abstractNum>
  <w:abstractNum w:abstractNumId="2" w15:restartNumberingAfterBreak="0">
    <w:nsid w:val="126D0143"/>
    <w:multiLevelType w:val="multilevel"/>
    <w:tmpl w:val="2DFEC1F2"/>
    <w:lvl w:ilvl="0">
      <w:start w:val="1"/>
      <w:numFmt w:val="decimal"/>
      <w:lvlText w:val="%1."/>
      <w:lvlJc w:val="right"/>
      <w:pPr>
        <w:ind w:left="1260" w:hanging="360"/>
      </w:pPr>
      <w:rPr>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3" w15:restartNumberingAfterBreak="0">
    <w:nsid w:val="1A6C699F"/>
    <w:multiLevelType w:val="multilevel"/>
    <w:tmpl w:val="72CEC398"/>
    <w:lvl w:ilvl="0">
      <w:start w:val="1"/>
      <w:numFmt w:val="decimal"/>
      <w:lvlText w:val="%1."/>
      <w:lvlJc w:val="left"/>
      <w:pPr>
        <w:ind w:left="720" w:hanging="360"/>
      </w:pPr>
      <w:rPr>
        <w:rFonts w:ascii="Arial" w:eastAsia="Arial" w:hAnsi="Arial" w:cs="Arial"/>
        <w:color w:val="616161"/>
        <w:sz w:val="23"/>
        <w:szCs w:val="23"/>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b w:val="0"/>
        <w:i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223E5E1B"/>
    <w:multiLevelType w:val="multilevel"/>
    <w:tmpl w:val="D88C3496"/>
    <w:lvl w:ilvl="0">
      <w:start w:val="1"/>
      <w:numFmt w:val="decimal"/>
      <w:lvlText w:val="%1."/>
      <w:lvlJc w:val="left"/>
      <w:pPr>
        <w:ind w:left="1080" w:hanging="360"/>
      </w:pPr>
      <w:rPr>
        <w:b/>
        <w:sz w:val="24"/>
        <w:szCs w:val="24"/>
        <w:vertAlign w:val="baseline"/>
      </w:rPr>
    </w:lvl>
    <w:lvl w:ilvl="1">
      <w:start w:val="1"/>
      <w:numFmt w:val="decimal"/>
      <w:lvlText w:val="%1.%2."/>
      <w:lvlJc w:val="left"/>
      <w:pPr>
        <w:ind w:left="1170" w:hanging="810"/>
      </w:pPr>
      <w:rPr>
        <w:sz w:val="24"/>
        <w:szCs w:val="24"/>
        <w:vertAlign w:val="baseline"/>
      </w:rPr>
    </w:lvl>
    <w:lvl w:ilvl="2">
      <w:start w:val="1"/>
      <w:numFmt w:val="decimal"/>
      <w:lvlText w:val="%1.%2.%3."/>
      <w:lvlJc w:val="left"/>
      <w:pPr>
        <w:ind w:left="1800" w:hanging="1080"/>
      </w:pPr>
      <w:rPr>
        <w:vertAlign w:val="baseline"/>
      </w:rPr>
    </w:lvl>
    <w:lvl w:ilvl="3">
      <w:start w:val="1"/>
      <w:numFmt w:val="decimal"/>
      <w:lvlText w:val="%1.%2.%3.%4."/>
      <w:lvlJc w:val="left"/>
      <w:pPr>
        <w:ind w:left="2160" w:hanging="1080"/>
      </w:pPr>
      <w:rPr>
        <w:vertAlign w:val="baseline"/>
      </w:rPr>
    </w:lvl>
    <w:lvl w:ilvl="4">
      <w:start w:val="1"/>
      <w:numFmt w:val="decimal"/>
      <w:lvlText w:val="%1.%2.%3.%4.%5."/>
      <w:lvlJc w:val="left"/>
      <w:pPr>
        <w:ind w:left="2880" w:hanging="1440"/>
      </w:pPr>
      <w:rPr>
        <w:vertAlign w:val="baseline"/>
      </w:rPr>
    </w:lvl>
    <w:lvl w:ilvl="5">
      <w:start w:val="1"/>
      <w:numFmt w:val="decimal"/>
      <w:lvlText w:val="%1.%2.%3.%4.%5.%6."/>
      <w:lvlJc w:val="left"/>
      <w:pPr>
        <w:ind w:left="3600" w:hanging="1800"/>
      </w:pPr>
      <w:rPr>
        <w:vertAlign w:val="baseline"/>
      </w:rPr>
    </w:lvl>
    <w:lvl w:ilvl="6">
      <w:start w:val="1"/>
      <w:numFmt w:val="decimal"/>
      <w:lvlText w:val="%1.%2.%3.%4.%5.%6.%7."/>
      <w:lvlJc w:val="left"/>
      <w:pPr>
        <w:ind w:left="4320" w:hanging="2160"/>
      </w:pPr>
      <w:rPr>
        <w:vertAlign w:val="baseline"/>
      </w:rPr>
    </w:lvl>
    <w:lvl w:ilvl="7">
      <w:start w:val="1"/>
      <w:numFmt w:val="decimal"/>
      <w:lvlText w:val="%1.%2.%3.%4.%5.%6.%7.%8."/>
      <w:lvlJc w:val="left"/>
      <w:pPr>
        <w:ind w:left="4680" w:hanging="2160"/>
      </w:pPr>
      <w:rPr>
        <w:vertAlign w:val="baseline"/>
      </w:rPr>
    </w:lvl>
    <w:lvl w:ilvl="8">
      <w:start w:val="1"/>
      <w:numFmt w:val="decimal"/>
      <w:lvlText w:val="%1.%2.%3.%4.%5.%6.%7.%8.%9."/>
      <w:lvlJc w:val="left"/>
      <w:pPr>
        <w:ind w:left="5400" w:hanging="2520"/>
      </w:pPr>
      <w:rPr>
        <w:vertAlign w:val="baseline"/>
      </w:rPr>
    </w:lvl>
  </w:abstractNum>
  <w:abstractNum w:abstractNumId="5" w15:restartNumberingAfterBreak="0">
    <w:nsid w:val="243E0F9F"/>
    <w:multiLevelType w:val="multilevel"/>
    <w:tmpl w:val="F95CE878"/>
    <w:lvl w:ilvl="0">
      <w:start w:val="1"/>
      <w:numFmt w:val="decimal"/>
      <w:lvlText w:val="%1."/>
      <w:lvlJc w:val="left"/>
      <w:pPr>
        <w:ind w:left="360" w:hanging="360"/>
      </w:pPr>
      <w:rPr>
        <w:vertAlign w:val="baseline"/>
      </w:rPr>
    </w:lvl>
    <w:lvl w:ilvl="1">
      <w:start w:val="1"/>
      <w:numFmt w:val="decimal"/>
      <w:lvlText w:val="%1.%2."/>
      <w:lvlJc w:val="left"/>
      <w:pPr>
        <w:ind w:left="792" w:hanging="432"/>
      </w:pPr>
      <w:rPr>
        <w:sz w:val="24"/>
        <w:szCs w:val="24"/>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6" w15:restartNumberingAfterBreak="0">
    <w:nsid w:val="66910C6F"/>
    <w:multiLevelType w:val="multilevel"/>
    <w:tmpl w:val="65FAA9BC"/>
    <w:lvl w:ilvl="0">
      <w:start w:val="1"/>
      <w:numFmt w:val="decimal"/>
      <w:lvlText w:val="%1."/>
      <w:lvlJc w:val="left"/>
      <w:pPr>
        <w:ind w:left="540" w:hanging="360"/>
      </w:pPr>
      <w:rPr>
        <w:color w:val="00000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68D914C6"/>
    <w:multiLevelType w:val="multilevel"/>
    <w:tmpl w:val="34EA4A0C"/>
    <w:lvl w:ilvl="0">
      <w:start w:val="1"/>
      <w:numFmt w:val="decimal"/>
      <w:lvlText w:val="%1."/>
      <w:lvlJc w:val="left"/>
      <w:pPr>
        <w:ind w:left="420" w:hanging="420"/>
      </w:pPr>
      <w:rPr>
        <w:vertAlign w:val="baseline"/>
      </w:rPr>
    </w:lvl>
    <w:lvl w:ilvl="1">
      <w:start w:val="1"/>
      <w:numFmt w:val="decimal"/>
      <w:lvlText w:val="%1.%2."/>
      <w:lvlJc w:val="left"/>
      <w:pPr>
        <w:ind w:left="780" w:hanging="420"/>
      </w:pPr>
      <w:rPr>
        <w:vertAlign w:val="baseline"/>
      </w:rPr>
    </w:lvl>
    <w:lvl w:ilvl="2">
      <w:start w:val="1"/>
      <w:numFmt w:val="decimal"/>
      <w:lvlText w:val="%1.%2.%3."/>
      <w:lvlJc w:val="left"/>
      <w:pPr>
        <w:ind w:left="1440" w:hanging="720"/>
      </w:pPr>
      <w:rPr>
        <w:vertAlign w:val="baseline"/>
      </w:rPr>
    </w:lvl>
    <w:lvl w:ilvl="3">
      <w:start w:val="1"/>
      <w:numFmt w:val="decimal"/>
      <w:lvlText w:val="%1.%2.%3.%4."/>
      <w:lvlJc w:val="left"/>
      <w:pPr>
        <w:ind w:left="1800" w:hanging="720"/>
      </w:pPr>
      <w:rPr>
        <w:vertAlign w:val="baseline"/>
      </w:rPr>
    </w:lvl>
    <w:lvl w:ilvl="4">
      <w:start w:val="1"/>
      <w:numFmt w:val="decimal"/>
      <w:lvlText w:val="%1.%2.%3.%4.%5."/>
      <w:lvlJc w:val="left"/>
      <w:pPr>
        <w:ind w:left="2520" w:hanging="1080"/>
      </w:pPr>
      <w:rPr>
        <w:vertAlign w:val="baseline"/>
      </w:rPr>
    </w:lvl>
    <w:lvl w:ilvl="5">
      <w:start w:val="1"/>
      <w:numFmt w:val="decimal"/>
      <w:lvlText w:val="%1.%2.%3.%4.%5.%6."/>
      <w:lvlJc w:val="left"/>
      <w:pPr>
        <w:ind w:left="2880" w:hanging="1080"/>
      </w:pPr>
      <w:rPr>
        <w:vertAlign w:val="baseline"/>
      </w:rPr>
    </w:lvl>
    <w:lvl w:ilvl="6">
      <w:start w:val="1"/>
      <w:numFmt w:val="decimal"/>
      <w:lvlText w:val="%1.%2.%3.%4.%5.%6.%7."/>
      <w:lvlJc w:val="left"/>
      <w:pPr>
        <w:ind w:left="3600" w:hanging="1440"/>
      </w:pPr>
      <w:rPr>
        <w:vertAlign w:val="baseline"/>
      </w:rPr>
    </w:lvl>
    <w:lvl w:ilvl="7">
      <w:start w:val="1"/>
      <w:numFmt w:val="decimal"/>
      <w:lvlText w:val="%1.%2.%3.%4.%5.%6.%7.%8."/>
      <w:lvlJc w:val="left"/>
      <w:pPr>
        <w:ind w:left="3960" w:hanging="1440"/>
      </w:pPr>
      <w:rPr>
        <w:vertAlign w:val="baseline"/>
      </w:rPr>
    </w:lvl>
    <w:lvl w:ilvl="8">
      <w:start w:val="1"/>
      <w:numFmt w:val="decimal"/>
      <w:lvlText w:val="%1.%2.%3.%4.%5.%6.%7.%8.%9."/>
      <w:lvlJc w:val="left"/>
      <w:pPr>
        <w:ind w:left="4680" w:hanging="1800"/>
      </w:pPr>
      <w:rPr>
        <w:vertAlign w:val="baseline"/>
      </w:rPr>
    </w:lvl>
  </w:abstractNum>
  <w:abstractNum w:abstractNumId="8" w15:restartNumberingAfterBreak="0">
    <w:nsid w:val="704564AD"/>
    <w:multiLevelType w:val="multilevel"/>
    <w:tmpl w:val="F97A8548"/>
    <w:lvl w:ilvl="0">
      <w:start w:val="1"/>
      <w:numFmt w:val="decimal"/>
      <w:lvlText w:val="%1."/>
      <w:lvlJc w:val="left"/>
      <w:pPr>
        <w:ind w:left="2880" w:hanging="360"/>
      </w:pPr>
      <w:rPr>
        <w:b w:val="0"/>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7"/>
  </w:num>
  <w:num w:numId="3">
    <w:abstractNumId w:val="3"/>
  </w:num>
  <w:num w:numId="4">
    <w:abstractNumId w:val="6"/>
  </w:num>
  <w:num w:numId="5">
    <w:abstractNumId w:val="8"/>
  </w:num>
  <w:num w:numId="6">
    <w:abstractNumId w:val="0"/>
  </w:num>
  <w:num w:numId="7">
    <w:abstractNumId w:val="5"/>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1AE"/>
    <w:rsid w:val="000002F6"/>
    <w:rsid w:val="0022197C"/>
    <w:rsid w:val="00304217"/>
    <w:rsid w:val="00437716"/>
    <w:rsid w:val="005578C5"/>
    <w:rsid w:val="005E0A85"/>
    <w:rsid w:val="00602778"/>
    <w:rsid w:val="008A3841"/>
    <w:rsid w:val="008B0B8C"/>
    <w:rsid w:val="00A03152"/>
    <w:rsid w:val="00A71B4A"/>
    <w:rsid w:val="00A85038"/>
    <w:rsid w:val="00AF11C0"/>
    <w:rsid w:val="00CC7BE4"/>
    <w:rsid w:val="00D556B6"/>
    <w:rsid w:val="00E451AE"/>
    <w:rsid w:val="00E95FB7"/>
    <w:rsid w:val="00F903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89627B"/>
  <w15:docId w15:val="{65A43A02-C470-41F4-ABD7-D24113090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o-RO"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val="en-US" w:eastAsia="en-US"/>
    </w:rPr>
  </w:style>
  <w:style w:type="paragraph" w:styleId="Heading1">
    <w:name w:val="heading 1"/>
    <w:basedOn w:val="Normal"/>
    <w:next w:val="Normal"/>
    <w:uiPriority w:val="9"/>
    <w:qFormat/>
    <w:pPr>
      <w:keepNext/>
    </w:pPr>
    <w:rPr>
      <w:b/>
      <w:bCs/>
      <w:sz w:val="28"/>
      <w:lang w:val="ro-RO"/>
    </w:rPr>
  </w:style>
  <w:style w:type="paragraph" w:styleId="Heading2">
    <w:name w:val="heading 2"/>
    <w:basedOn w:val="Normal"/>
    <w:next w:val="Normal"/>
    <w:uiPriority w:val="9"/>
    <w:semiHidden/>
    <w:unhideWhenUsed/>
    <w:qFormat/>
    <w:pPr>
      <w:keepNext/>
      <w:outlineLvl w:val="1"/>
    </w:pPr>
    <w:rPr>
      <w:b/>
      <w:bCs/>
      <w:sz w:val="32"/>
      <w:lang w:val="ro-RO"/>
    </w:rPr>
  </w:style>
  <w:style w:type="paragraph" w:styleId="Heading3">
    <w:name w:val="heading 3"/>
    <w:basedOn w:val="Normal"/>
    <w:next w:val="Normal"/>
    <w:uiPriority w:val="9"/>
    <w:semiHidden/>
    <w:unhideWhenUsed/>
    <w:qFormat/>
    <w:pPr>
      <w:keepNext/>
      <w:spacing w:before="240" w:after="60"/>
      <w:outlineLvl w:val="2"/>
    </w:pPr>
    <w:rPr>
      <w:rFonts w:ascii="Arial" w:hAnsi="Arial" w:cs="Arial"/>
      <w:b/>
      <w:bCs/>
      <w:sz w:val="26"/>
      <w:szCs w:val="26"/>
      <w:lang w:val="ro-RO" w:eastAsia="en-GB"/>
    </w:rPr>
  </w:style>
  <w:style w:type="paragraph" w:styleId="Heading4">
    <w:name w:val="heading 4"/>
    <w:basedOn w:val="Normal"/>
    <w:next w:val="Normal"/>
    <w:uiPriority w:val="9"/>
    <w:semiHidden/>
    <w:unhideWhenUsed/>
    <w:qFormat/>
    <w:pPr>
      <w:keepNext/>
      <w:jc w:val="center"/>
      <w:outlineLvl w:val="3"/>
    </w:pPr>
    <w:rPr>
      <w:rFonts w:ascii="Bookman Old Style" w:hAnsi="Bookman Old Style"/>
      <w:b/>
      <w:sz w:val="28"/>
      <w:u w:val="single"/>
      <w:lang w:val="ro-RO"/>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jc w:val="center"/>
    </w:pPr>
    <w:rPr>
      <w:rFonts w:ascii="Book Antiqua" w:hAnsi="Book Antiqua"/>
      <w:sz w:val="36"/>
      <w:szCs w:val="36"/>
      <w:lang w:val="ro-RO"/>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Hyperlink">
    <w:name w:val="Hyperlink"/>
    <w:rPr>
      <w:color w:val="0000FF"/>
      <w:w w:val="100"/>
      <w:position w:val="-1"/>
      <w:u w:val="single"/>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Subtitle">
    <w:name w:val="Subtitle"/>
    <w:basedOn w:val="Normal"/>
    <w:uiPriority w:val="11"/>
    <w:qFormat/>
    <w:pPr>
      <w:jc w:val="both"/>
    </w:pPr>
    <w:rPr>
      <w:rFonts w:ascii="Bookman Old Style" w:eastAsia="Bookman Old Style" w:hAnsi="Bookman Old Style" w:cs="Bookman Old Style"/>
      <w:sz w:val="32"/>
      <w:szCs w:val="32"/>
    </w:rPr>
  </w:style>
  <w:style w:type="paragraph" w:styleId="BodyText">
    <w:name w:val="Body Text"/>
    <w:basedOn w:val="Normal"/>
    <w:pPr>
      <w:spacing w:after="120"/>
    </w:pPr>
  </w:style>
  <w:style w:type="character" w:customStyle="1" w:styleId="tpa1">
    <w:name w:val="tpa1"/>
    <w:basedOn w:val="DefaultParagraphFont"/>
    <w:rPr>
      <w:w w:val="100"/>
      <w:position w:val="-1"/>
      <w:effect w:val="none"/>
      <w:vertAlign w:val="baseline"/>
      <w:cs w:val="0"/>
      <w:em w:val="none"/>
    </w:rPr>
  </w:style>
  <w:style w:type="paragraph" w:styleId="BodyTextIndent">
    <w:name w:val="Body Text Indent"/>
    <w:basedOn w:val="Normal"/>
    <w:pPr>
      <w:spacing w:after="120"/>
      <w:ind w:left="283"/>
    </w:pPr>
  </w:style>
  <w:style w:type="paragraph" w:customStyle="1" w:styleId="StyleJustified">
    <w:name w:val="Style Justified"/>
    <w:basedOn w:val="Normal"/>
    <w:pPr>
      <w:jc w:val="both"/>
    </w:pPr>
    <w:rPr>
      <w:szCs w:val="20"/>
    </w:rPr>
  </w:style>
  <w:style w:type="paragraph" w:customStyle="1" w:styleId="Stil">
    <w:name w:val="Stil"/>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lang w:eastAsia="ro-RO"/>
    </w:rPr>
  </w:style>
  <w:style w:type="paragraph" w:styleId="FootnoteText">
    <w:name w:val="footnote text"/>
    <w:basedOn w:val="Normal"/>
    <w:rPr>
      <w:sz w:val="20"/>
      <w:szCs w:val="20"/>
      <w:lang w:val="ro-RO" w:eastAsia="ro-RO"/>
    </w:rPr>
  </w:style>
  <w:style w:type="paragraph" w:customStyle="1" w:styleId="type">
    <w:name w:val="type"/>
    <w:basedOn w:val="Normal"/>
    <w:pPr>
      <w:spacing w:before="100" w:beforeAutospacing="1" w:after="100" w:afterAutospacing="1"/>
    </w:pPr>
    <w:rPr>
      <w:rFonts w:ascii="Arial" w:hAnsi="Arial" w:cs="Arial"/>
      <w:color w:val="003399"/>
      <w:sz w:val="32"/>
      <w:szCs w:val="32"/>
      <w:lang w:val="ro-RO"/>
    </w:rPr>
  </w:style>
  <w:style w:type="character" w:customStyle="1" w:styleId="preambul1">
    <w:name w:val="preambul1"/>
    <w:rPr>
      <w:i/>
      <w:iCs/>
      <w:color w:val="000000"/>
      <w:w w:val="100"/>
      <w:position w:val="-1"/>
      <w:effect w:val="none"/>
      <w:vertAlign w:val="baseline"/>
      <w:cs w:val="0"/>
      <w:em w:val="none"/>
    </w:rPr>
  </w:style>
  <w:style w:type="character" w:styleId="CommentReference">
    <w:name w:val="annotation reference"/>
    <w:rPr>
      <w:w w:val="100"/>
      <w:position w:val="-1"/>
      <w:sz w:val="16"/>
      <w:szCs w:val="16"/>
      <w:effect w:val="none"/>
      <w:vertAlign w:val="baseline"/>
      <w:cs w:val="0"/>
      <w:em w:val="none"/>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BalloonText">
    <w:name w:val="Balloon Text"/>
    <w:basedOn w:val="Normal"/>
    <w:rPr>
      <w:rFonts w:ascii="Tahoma" w:hAnsi="Tahoma" w:cs="Tahoma"/>
      <w:sz w:val="16"/>
      <w:szCs w:val="16"/>
    </w:rPr>
  </w:style>
  <w:style w:type="paragraph" w:customStyle="1" w:styleId="rvps1">
    <w:name w:val="rvps1"/>
    <w:basedOn w:val="Normal"/>
    <w:pPr>
      <w:spacing w:before="100" w:beforeAutospacing="1" w:after="100" w:afterAutospacing="1"/>
    </w:pPr>
  </w:style>
  <w:style w:type="character" w:customStyle="1" w:styleId="rvts7">
    <w:name w:val="rvts7"/>
    <w:basedOn w:val="DefaultParagraphFont"/>
    <w:rPr>
      <w:w w:val="100"/>
      <w:position w:val="-1"/>
      <w:effect w:val="none"/>
      <w:vertAlign w:val="baseline"/>
      <w:cs w:val="0"/>
      <w:em w:val="none"/>
    </w:rPr>
  </w:style>
  <w:style w:type="paragraph" w:styleId="BodyText2">
    <w:name w:val="Body Text 2"/>
    <w:basedOn w:val="Normal"/>
    <w:pPr>
      <w:spacing w:after="120" w:line="480" w:lineRule="auto"/>
    </w:pPr>
  </w:style>
  <w:style w:type="character" w:styleId="Strong">
    <w:name w:val="Strong"/>
    <w:rPr>
      <w:b/>
      <w:bCs/>
      <w:w w:val="100"/>
      <w:position w:val="-1"/>
      <w:effect w:val="none"/>
      <w:vertAlign w:val="baseline"/>
      <w:cs w:val="0"/>
      <w:em w:val="none"/>
    </w:rPr>
  </w:style>
  <w:style w:type="character" w:customStyle="1" w:styleId="searchidx0">
    <w:name w:val="search_idx_0"/>
    <w:basedOn w:val="DefaultParagraphFont"/>
    <w:rPr>
      <w:w w:val="100"/>
      <w:position w:val="-1"/>
      <w:effect w:val="none"/>
      <w:vertAlign w:val="baseline"/>
      <w:cs w:val="0"/>
      <w:em w:val="none"/>
    </w:rPr>
  </w:style>
  <w:style w:type="character" w:customStyle="1" w:styleId="searchidx1">
    <w:name w:val="search_idx_1"/>
    <w:basedOn w:val="DefaultParagraphFont"/>
    <w:rPr>
      <w:w w:val="100"/>
      <w:position w:val="-1"/>
      <w:effect w:val="none"/>
      <w:vertAlign w:val="baseline"/>
      <w:cs w:val="0"/>
      <w:em w:val="none"/>
    </w:rPr>
  </w:style>
  <w:style w:type="character" w:customStyle="1" w:styleId="searchidx01">
    <w:name w:val="search_idx_01"/>
    <w:rPr>
      <w:color w:val="000000"/>
      <w:w w:val="100"/>
      <w:position w:val="-1"/>
      <w:effect w:val="none"/>
      <w:shd w:val="clear" w:color="auto" w:fill="FFD700"/>
      <w:vertAlign w:val="baseline"/>
      <w:cs w:val="0"/>
      <w:em w:val="none"/>
    </w:rPr>
  </w:style>
  <w:style w:type="character" w:customStyle="1" w:styleId="searchidx11">
    <w:name w:val="search_idx_11"/>
    <w:rPr>
      <w:color w:val="000000"/>
      <w:w w:val="100"/>
      <w:position w:val="-1"/>
      <w:effect w:val="none"/>
      <w:shd w:val="clear" w:color="auto" w:fill="7CFC00"/>
      <w:vertAlign w:val="baseline"/>
      <w:cs w:val="0"/>
      <w:em w:val="none"/>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360"/>
    </w:pPr>
    <w:rPr>
      <w:lang w:val="fr-FR"/>
    </w:rPr>
  </w:style>
  <w:style w:type="character" w:customStyle="1" w:styleId="do1">
    <w:name w:val="do1"/>
    <w:rPr>
      <w:b/>
      <w:bCs/>
      <w:w w:val="100"/>
      <w:position w:val="-1"/>
      <w:sz w:val="26"/>
      <w:szCs w:val="26"/>
      <w:effect w:val="none"/>
      <w:vertAlign w:val="baseline"/>
      <w:cs w:val="0"/>
      <w:em w:val="none"/>
    </w:rPr>
  </w:style>
  <w:style w:type="character" w:customStyle="1" w:styleId="tal1">
    <w:name w:val="tal1"/>
    <w:basedOn w:val="DefaultParagraphFont"/>
    <w:rPr>
      <w:w w:val="100"/>
      <w:position w:val="-1"/>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character" w:customStyle="1" w:styleId="yshortcuts">
    <w:name w:val="yshortcuts"/>
    <w:basedOn w:val="DefaultParagraphFont"/>
    <w:rPr>
      <w:w w:val="100"/>
      <w:position w:val="-1"/>
      <w:effect w:val="none"/>
      <w:vertAlign w:val="baseline"/>
      <w:cs w:val="0"/>
      <w:em w:val="none"/>
    </w:rPr>
  </w:style>
  <w:style w:type="paragraph" w:customStyle="1" w:styleId="3Titlu">
    <w:name w:val="3.Titlu"/>
    <w:basedOn w:val="Normal"/>
    <w:pPr>
      <w:jc w:val="center"/>
    </w:pPr>
    <w:rPr>
      <w:rFonts w:ascii="Arial" w:hAnsi="Arial"/>
      <w:b/>
      <w:spacing w:val="-4"/>
      <w:szCs w:val="20"/>
      <w:lang w:val="ro-RO"/>
    </w:rPr>
  </w:style>
  <w:style w:type="character" w:customStyle="1" w:styleId="rvts12">
    <w:name w:val="rvts12"/>
    <w:basedOn w:val="DefaultParagraphFont"/>
    <w:rPr>
      <w:w w:val="100"/>
      <w:position w:val="-1"/>
      <w:effect w:val="none"/>
      <w:vertAlign w:val="baseline"/>
      <w:cs w:val="0"/>
      <w:em w:val="none"/>
    </w:rPr>
  </w:style>
  <w:style w:type="character" w:customStyle="1" w:styleId="rvts10">
    <w:name w:val="rvts10"/>
    <w:basedOn w:val="DefaultParagraphFont"/>
    <w:rPr>
      <w:w w:val="100"/>
      <w:position w:val="-1"/>
      <w:effect w:val="none"/>
      <w:vertAlign w:val="baseline"/>
      <w:cs w:val="0"/>
      <w:em w:val="none"/>
    </w:rPr>
  </w:style>
  <w:style w:type="character" w:customStyle="1" w:styleId="rvts9">
    <w:name w:val="rvts9"/>
    <w:basedOn w:val="DefaultParagraphFont"/>
    <w:rPr>
      <w:w w:val="100"/>
      <w:position w:val="-1"/>
      <w:effect w:val="none"/>
      <w:vertAlign w:val="baseline"/>
      <w:cs w:val="0"/>
      <w:em w:val="none"/>
    </w:rPr>
  </w:style>
  <w:style w:type="character" w:customStyle="1" w:styleId="rvts8">
    <w:name w:val="rvts8"/>
    <w:basedOn w:val="DefaultParagraphFont"/>
    <w:rPr>
      <w:w w:val="100"/>
      <w:position w:val="-1"/>
      <w:effect w:val="none"/>
      <w:vertAlign w:val="baseline"/>
      <w:cs w:val="0"/>
      <w:em w:val="none"/>
    </w:rPr>
  </w:style>
  <w:style w:type="paragraph" w:customStyle="1" w:styleId="Listparagraf1">
    <w:name w:val="Listă paragraf1"/>
    <w:basedOn w:val="Normal"/>
    <w:pPr>
      <w:ind w:left="708"/>
    </w:pPr>
  </w:style>
  <w:style w:type="character" w:customStyle="1" w:styleId="BodyTextChar">
    <w:name w:val="Body Text Char"/>
    <w:rPr>
      <w:w w:val="100"/>
      <w:position w:val="-1"/>
      <w:sz w:val="24"/>
      <w:szCs w:val="24"/>
      <w:effect w:val="none"/>
      <w:vertAlign w:val="baseline"/>
      <w:cs w:val="0"/>
      <w:em w:val="none"/>
    </w:rPr>
  </w:style>
  <w:style w:type="character" w:styleId="Emphasis">
    <w:name w:val="Emphasis"/>
    <w:rPr>
      <w:i/>
      <w:iCs/>
      <w:w w:val="100"/>
      <w:position w:val="-1"/>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Cambria" w:hAnsi="Cambria" w:cs="Cambria"/>
      <w:color w:val="000000"/>
      <w:position w:val="-1"/>
      <w:lang w:val="en-US" w:eastAsia="en-US"/>
    </w:rPr>
  </w:style>
  <w:style w:type="paragraph" w:styleId="NormalWeb">
    <w:name w:val="Normal (Web)"/>
    <w:basedOn w:val="Normal"/>
    <w:qFormat/>
    <w:pPr>
      <w:spacing w:before="100" w:beforeAutospacing="1" w:after="100" w:afterAutospacing="1"/>
    </w:pPr>
  </w:style>
  <w:style w:type="paragraph" w:styleId="ListParagraph">
    <w:name w:val="List Paragraph"/>
    <w:basedOn w:val="Normal"/>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scj.ro/1093/Detalii-jurisprudenta?customQuery%5B0%5D.Key=id&amp;customQuery%5B0%5D.Value=150123" TargetMode="External"/><Relationship Id="rId13" Type="http://schemas.openxmlformats.org/officeDocument/2006/relationships/hyperlink" Target="http://www.scj.ro/1093/Detalii-jurisprudenta?customQuery%5B0%5D.Key=id&amp;customQuery%5B0%5D.Value=172396" TargetMode="External"/><Relationship Id="rId18" Type="http://schemas.openxmlformats.org/officeDocument/2006/relationships/hyperlink" Target="https://www.ccr.ro/files/products/Decizie_67_2015.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cj.ro/1093/Detalii-jurisprudenta?customQuery%5B0%5D.Key=id&amp;customQuery%5B0%5D.Value=171954" TargetMode="External"/><Relationship Id="rId17" Type="http://schemas.openxmlformats.org/officeDocument/2006/relationships/hyperlink" Target="http://www.ccr.ro/files/products/Decizie_265_20141.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cj.ro/1093/Detalii-jurisprudenta?customQuery%5B0%5D.Key=id&amp;customQuery%5B0%5D.Value=187027"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j.ro/1093/Detalii-jurisprudenta?customQuery%5B0%5D.Key=id&amp;customQuery%5B0%5D.Value=171883"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cj.ro/1093/Detalii-jurisprudenta?customQuery%5B0%5D.Key=id&amp;customQuery%5B0%5D.Value=178533" TargetMode="External"/><Relationship Id="rId23" Type="http://schemas.openxmlformats.org/officeDocument/2006/relationships/header" Target="header3.xml"/><Relationship Id="rId10" Type="http://schemas.openxmlformats.org/officeDocument/2006/relationships/hyperlink" Target="http://www.scj.ro/1093/Detalii-jurisprudenta?customQuery%5B0%5D.Key=id&amp;customQuery%5B0%5D.Value=171882"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cj.ro/1093/Detalii-jurisprudenta?customQuery%5B0%5D.Key=id&amp;customQuery%5B0%5D.Value=169563" TargetMode="External"/><Relationship Id="rId14" Type="http://schemas.openxmlformats.org/officeDocument/2006/relationships/hyperlink" Target="http://www.scj.ro/1093/Detalii-jurisprudenta?customQuery%5B0%5D.Key=id&amp;customQuery%5B0%5D.Value=172401"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wFbO69amebme9PDhRIr11/07ng==">AMUW2mXOPbQPR0FbthMBFq53bTux1dU4T5GfUG8jN4pqhVUvJ+BboTSFbZjbZRHh++uPfPNGt8zko3fY9Jx8vY3w1WHMHkLrQi4UWyuFva7wFfWBygB8ZRPLWOWIwMjZDlFMw44Owq0Ss7q/UeuN2WI2Ua0EnVJVSOTeqRg5w92nyTVlH5Qv5mHYN8DBe3eiy+QQ19KU5d5B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2777</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cristina.georgescu</dc:creator>
  <cp:lastModifiedBy>Elena, PETRESCU</cp:lastModifiedBy>
  <cp:revision>4</cp:revision>
  <dcterms:created xsi:type="dcterms:W3CDTF">2022-06-09T10:31:00Z</dcterms:created>
  <dcterms:modified xsi:type="dcterms:W3CDTF">2022-07-04T07:40:00Z</dcterms:modified>
</cp:coreProperties>
</file>